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1E" w:rsidRPr="00467D8D" w:rsidRDefault="00EC241E" w:rsidP="00EC241E">
      <w:pPr>
        <w:spacing w:before="11" w:after="180"/>
        <w:ind w:left="720" w:right="242"/>
        <w:jc w:val="right"/>
        <w:rPr>
          <w:sz w:val="22"/>
          <w:szCs w:val="22"/>
        </w:rPr>
      </w:pPr>
      <w:r w:rsidRPr="00467D8D">
        <w:rPr>
          <w:sz w:val="22"/>
          <w:szCs w:val="22"/>
        </w:rPr>
        <w:t xml:space="preserve">                                                                                                                </w:t>
      </w:r>
    </w:p>
    <w:p w:rsidR="00EC241E" w:rsidRPr="00467D8D" w:rsidRDefault="00EC241E" w:rsidP="00EC241E">
      <w:pPr>
        <w:tabs>
          <w:tab w:val="left" w:pos="6104"/>
          <w:tab w:val="left" w:leader="underscore" w:pos="9021"/>
        </w:tabs>
        <w:rPr>
          <w:b/>
          <w:bCs/>
          <w:spacing w:val="4"/>
          <w:sz w:val="22"/>
          <w:szCs w:val="22"/>
          <w:lang w:val="en-US"/>
        </w:rPr>
      </w:pPr>
    </w:p>
    <w:p w:rsidR="00EC241E" w:rsidRPr="00467D8D" w:rsidRDefault="00EC241E" w:rsidP="00EC241E">
      <w:pPr>
        <w:tabs>
          <w:tab w:val="left" w:pos="6104"/>
          <w:tab w:val="left" w:leader="underscore" w:pos="9021"/>
        </w:tabs>
        <w:rPr>
          <w:b/>
          <w:bCs/>
          <w:spacing w:val="4"/>
          <w:sz w:val="22"/>
          <w:szCs w:val="22"/>
          <w:lang w:val="en-US"/>
        </w:rPr>
      </w:pPr>
    </w:p>
    <w:p w:rsidR="00EC241E" w:rsidRPr="001C5FFB" w:rsidRDefault="00EC241E" w:rsidP="00EC241E">
      <w:pPr>
        <w:tabs>
          <w:tab w:val="left" w:pos="6104"/>
          <w:tab w:val="left" w:leader="underscore" w:pos="9021"/>
        </w:tabs>
        <w:rPr>
          <w:b/>
          <w:bCs/>
          <w:spacing w:val="4"/>
          <w:sz w:val="22"/>
          <w:szCs w:val="22"/>
        </w:rPr>
      </w:pPr>
      <w:proofErr w:type="spellStart"/>
      <w:r w:rsidRPr="001C5FFB">
        <w:rPr>
          <w:b/>
          <w:bCs/>
          <w:spacing w:val="4"/>
          <w:sz w:val="22"/>
          <w:szCs w:val="22"/>
          <w:lang w:val="en-US"/>
        </w:rPr>
        <w:t>УНИБанка</w:t>
      </w:r>
      <w:proofErr w:type="spellEnd"/>
      <w:r w:rsidRPr="001C5FFB">
        <w:rPr>
          <w:b/>
          <w:bCs/>
          <w:spacing w:val="4"/>
          <w:sz w:val="22"/>
          <w:szCs w:val="22"/>
          <w:lang w:val="en-US"/>
        </w:rPr>
        <w:t xml:space="preserve"> АД С К О П Ј Е</w:t>
      </w:r>
      <w:r w:rsidRPr="001C5FFB">
        <w:rPr>
          <w:b/>
          <w:bCs/>
          <w:spacing w:val="4"/>
          <w:sz w:val="22"/>
          <w:szCs w:val="22"/>
          <w:lang w:val="en-US"/>
        </w:rPr>
        <w:tab/>
      </w:r>
    </w:p>
    <w:p w:rsidR="00EC241E" w:rsidRPr="001C5FFB" w:rsidRDefault="00EC241E" w:rsidP="00EC241E">
      <w:pPr>
        <w:tabs>
          <w:tab w:val="left" w:pos="6104"/>
          <w:tab w:val="left" w:leader="underscore" w:pos="9021"/>
        </w:tabs>
        <w:spacing w:before="36"/>
        <w:ind w:right="504"/>
        <w:rPr>
          <w:spacing w:val="-2"/>
          <w:sz w:val="22"/>
          <w:szCs w:val="22"/>
        </w:rPr>
      </w:pPr>
      <w:r w:rsidRPr="001C5FFB">
        <w:rPr>
          <w:spacing w:val="-2"/>
          <w:sz w:val="22"/>
          <w:szCs w:val="22"/>
        </w:rPr>
        <w:t xml:space="preserve">Ескпозитура:     __________                                                                               </w:t>
      </w:r>
    </w:p>
    <w:p w:rsidR="00EC241E" w:rsidRPr="001C5FFB" w:rsidRDefault="00EC241E" w:rsidP="00EC241E">
      <w:pPr>
        <w:tabs>
          <w:tab w:val="left" w:pos="6104"/>
          <w:tab w:val="left" w:leader="underscore" w:pos="9021"/>
        </w:tabs>
        <w:spacing w:before="36"/>
        <w:ind w:right="504"/>
        <w:rPr>
          <w:spacing w:val="-2"/>
          <w:sz w:val="22"/>
          <w:szCs w:val="22"/>
        </w:rPr>
      </w:pPr>
      <w:r w:rsidRPr="001C5FFB">
        <w:rPr>
          <w:spacing w:val="-2"/>
          <w:sz w:val="22"/>
          <w:szCs w:val="22"/>
        </w:rPr>
        <w:t xml:space="preserve">                                                                                                   </w:t>
      </w:r>
    </w:p>
    <w:p w:rsidR="00610FFF" w:rsidRPr="00A65692" w:rsidRDefault="00EC241E" w:rsidP="00EC241E">
      <w:pPr>
        <w:spacing w:before="684"/>
        <w:jc w:val="center"/>
        <w:rPr>
          <w:b/>
          <w:bCs/>
          <w:sz w:val="22"/>
          <w:szCs w:val="22"/>
        </w:rPr>
      </w:pPr>
      <w:r w:rsidRPr="00A65692">
        <w:rPr>
          <w:b/>
          <w:bCs/>
          <w:sz w:val="22"/>
          <w:szCs w:val="22"/>
        </w:rPr>
        <w:t>ФОРМУЛАР</w:t>
      </w:r>
      <w:r w:rsidR="00610FFF" w:rsidRPr="00A65692">
        <w:rPr>
          <w:b/>
          <w:bCs/>
          <w:sz w:val="22"/>
          <w:szCs w:val="22"/>
        </w:rPr>
        <w:br/>
        <w:t>ЗА ПРЕДДОГОВОРНИ ИНФОРМАЦИИ (ПОДАТОЦИ) ЗА ПОНУДЕНИТЕ КРЕДИТНИ</w:t>
      </w:r>
      <w:r w:rsidR="00610FFF" w:rsidRPr="00A65692">
        <w:rPr>
          <w:b/>
          <w:bCs/>
          <w:sz w:val="22"/>
          <w:szCs w:val="22"/>
        </w:rPr>
        <w:br/>
        <w:t>УСЛОВИ ЗА ПОТРОШУВАЧКИ КРЕДИТ</w:t>
      </w:r>
    </w:p>
    <w:p w:rsidR="009500A4" w:rsidRPr="00A65692" w:rsidRDefault="009500A4" w:rsidP="009500A4">
      <w:pPr>
        <w:numPr>
          <w:ilvl w:val="0"/>
          <w:numId w:val="7"/>
        </w:numPr>
        <w:spacing w:before="684"/>
        <w:rPr>
          <w:b/>
          <w:bCs/>
          <w:sz w:val="22"/>
          <w:szCs w:val="22"/>
          <w:lang w:val="en-US"/>
        </w:rPr>
      </w:pPr>
      <w:r w:rsidRPr="00A65692">
        <w:rPr>
          <w:b/>
          <w:bCs/>
          <w:sz w:val="22"/>
          <w:szCs w:val="22"/>
        </w:rPr>
        <w:t>Податоци за кредиторот/кредитниот посредник</w:t>
      </w:r>
    </w:p>
    <w:tbl>
      <w:tblPr>
        <w:tblW w:w="9624" w:type="dxa"/>
        <w:tblInd w:w="4" w:type="dxa"/>
        <w:tblLayout w:type="fixed"/>
        <w:tblCellMar>
          <w:left w:w="0" w:type="dxa"/>
          <w:right w:w="0" w:type="dxa"/>
        </w:tblCellMar>
        <w:tblLook w:val="0000" w:firstRow="0" w:lastRow="0" w:firstColumn="0" w:lastColumn="0" w:noHBand="0" w:noVBand="0"/>
      </w:tblPr>
      <w:tblGrid>
        <w:gridCol w:w="5102"/>
        <w:gridCol w:w="4522"/>
      </w:tblGrid>
      <w:tr w:rsidR="00610FFF" w:rsidRPr="00A65692" w:rsidTr="00F76E07">
        <w:trPr>
          <w:trHeight w:hRule="exact" w:val="364"/>
        </w:trPr>
        <w:tc>
          <w:tcPr>
            <w:tcW w:w="9624" w:type="dxa"/>
            <w:gridSpan w:val="2"/>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jc w:val="center"/>
              <w:rPr>
                <w:b/>
                <w:bCs/>
                <w:sz w:val="22"/>
                <w:szCs w:val="22"/>
                <w:lang w:val="en-US"/>
              </w:rPr>
            </w:pPr>
            <w:r w:rsidRPr="00A65692">
              <w:rPr>
                <w:b/>
                <w:bCs/>
                <w:sz w:val="22"/>
                <w:szCs w:val="22"/>
                <w:lang w:val="en-US"/>
              </w:rPr>
              <w:t>ПОДАТОЦИ ЗА КРЕДИТОРОТ</w:t>
            </w:r>
          </w:p>
        </w:tc>
      </w:tr>
      <w:tr w:rsidR="00610FFF" w:rsidRPr="00A65692" w:rsidTr="00047CEB">
        <w:trPr>
          <w:trHeight w:hRule="exact" w:val="280"/>
        </w:trPr>
        <w:tc>
          <w:tcPr>
            <w:tcW w:w="5102" w:type="dxa"/>
            <w:tcBorders>
              <w:top w:val="single" w:sz="2" w:space="0" w:color="auto"/>
              <w:left w:val="single" w:sz="2" w:space="0" w:color="auto"/>
              <w:bottom w:val="single" w:sz="2" w:space="0" w:color="auto"/>
              <w:right w:val="single" w:sz="2" w:space="0" w:color="auto"/>
            </w:tcBorders>
          </w:tcPr>
          <w:p w:rsidR="00610FFF" w:rsidRPr="00A65692" w:rsidRDefault="00610FFF" w:rsidP="003E38E1">
            <w:pPr>
              <w:spacing w:after="180"/>
              <w:ind w:right="2042"/>
              <w:jc w:val="right"/>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1</w:t>
            </w:r>
          </w:p>
        </w:tc>
        <w:tc>
          <w:tcPr>
            <w:tcW w:w="4522" w:type="dxa"/>
            <w:tcBorders>
              <w:top w:val="single" w:sz="2" w:space="0" w:color="auto"/>
              <w:left w:val="single" w:sz="2" w:space="0" w:color="auto"/>
              <w:bottom w:val="single" w:sz="2" w:space="0" w:color="auto"/>
              <w:right w:val="single" w:sz="2" w:space="0" w:color="auto"/>
            </w:tcBorders>
          </w:tcPr>
          <w:p w:rsidR="00610FFF" w:rsidRPr="00A65692" w:rsidRDefault="00610FFF" w:rsidP="003E38E1">
            <w:pPr>
              <w:spacing w:after="180"/>
              <w:ind w:right="1695"/>
              <w:jc w:val="right"/>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2</w:t>
            </w:r>
          </w:p>
        </w:tc>
      </w:tr>
      <w:tr w:rsidR="00610FFF" w:rsidRPr="00A65692" w:rsidTr="00047CEB">
        <w:trPr>
          <w:trHeight w:hRule="exact" w:val="412"/>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left="64"/>
              <w:rPr>
                <w:sz w:val="22"/>
                <w:szCs w:val="22"/>
                <w:lang w:val="en-US"/>
              </w:rPr>
            </w:pPr>
            <w:proofErr w:type="spellStart"/>
            <w:r w:rsidRPr="00A65692">
              <w:rPr>
                <w:sz w:val="22"/>
                <w:szCs w:val="22"/>
                <w:lang w:val="en-US"/>
              </w:rPr>
              <w:t>Назив</w:t>
            </w:r>
            <w:proofErr w:type="spellEnd"/>
            <w:r w:rsidRPr="00A65692">
              <w:rPr>
                <w:sz w:val="22"/>
                <w:szCs w:val="22"/>
                <w:lang w:val="en-US"/>
              </w:rPr>
              <w:t xml:space="preserve"> </w:t>
            </w:r>
            <w:proofErr w:type="spellStart"/>
            <w:r w:rsidRPr="00A65692">
              <w:rPr>
                <w:sz w:val="22"/>
                <w:szCs w:val="22"/>
                <w:lang w:val="en-US"/>
              </w:rPr>
              <w:t>на</w:t>
            </w:r>
            <w:proofErr w:type="spellEnd"/>
            <w:r w:rsidRPr="00A65692">
              <w:rPr>
                <w:sz w:val="22"/>
                <w:szCs w:val="22"/>
                <w:lang w:val="en-US"/>
              </w:rPr>
              <w:t xml:space="preserve"> </w:t>
            </w:r>
            <w:proofErr w:type="spellStart"/>
            <w:r w:rsidRPr="00A65692">
              <w:rPr>
                <w:sz w:val="22"/>
                <w:szCs w:val="22"/>
                <w:lang w:val="en-US"/>
              </w:rPr>
              <w:t>кредиторот</w:t>
            </w:r>
            <w:proofErr w:type="spellEnd"/>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rPr>
                <w:sz w:val="22"/>
                <w:szCs w:val="22"/>
              </w:rPr>
            </w:pPr>
            <w:r w:rsidRPr="00A65692">
              <w:rPr>
                <w:sz w:val="22"/>
                <w:szCs w:val="22"/>
              </w:rPr>
              <w:t>Универзална Инвестициона Банка АД Скопје</w:t>
            </w:r>
          </w:p>
        </w:tc>
      </w:tr>
      <w:tr w:rsidR="00610FFF" w:rsidRPr="00A65692" w:rsidTr="00047CEB">
        <w:trPr>
          <w:trHeight w:hRule="exact" w:val="307"/>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left="64"/>
              <w:rPr>
                <w:sz w:val="22"/>
                <w:szCs w:val="22"/>
              </w:rPr>
            </w:pPr>
            <w:r w:rsidRPr="00A65692">
              <w:rPr>
                <w:sz w:val="22"/>
                <w:szCs w:val="22"/>
              </w:rPr>
              <w:t>Адреса (aдреса на која е достапен кредиторот)</w:t>
            </w:r>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rPr>
                <w:sz w:val="22"/>
                <w:szCs w:val="22"/>
              </w:rPr>
            </w:pPr>
            <w:r w:rsidRPr="00A65692">
              <w:rPr>
                <w:sz w:val="22"/>
                <w:szCs w:val="22"/>
              </w:rPr>
              <w:t>ул.Максим Горки бр.6 Скопје</w:t>
            </w:r>
          </w:p>
        </w:tc>
      </w:tr>
      <w:tr w:rsidR="00610FFF" w:rsidRPr="00A65692" w:rsidTr="00047CEB">
        <w:trPr>
          <w:trHeight w:hRule="exact" w:val="312"/>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left="64"/>
              <w:rPr>
                <w:sz w:val="22"/>
                <w:szCs w:val="22"/>
                <w:lang w:val="en-US"/>
              </w:rPr>
            </w:pPr>
            <w:proofErr w:type="spellStart"/>
            <w:r w:rsidRPr="00A65692">
              <w:rPr>
                <w:sz w:val="22"/>
                <w:szCs w:val="22"/>
                <w:lang w:val="en-US"/>
              </w:rPr>
              <w:t>Број</w:t>
            </w:r>
            <w:proofErr w:type="spellEnd"/>
            <w:r w:rsidRPr="00A65692">
              <w:rPr>
                <w:sz w:val="22"/>
                <w:szCs w:val="22"/>
                <w:lang w:val="en-US"/>
              </w:rPr>
              <w:t xml:space="preserve"> </w:t>
            </w:r>
            <w:proofErr w:type="spellStart"/>
            <w:r w:rsidRPr="00A65692">
              <w:rPr>
                <w:sz w:val="22"/>
                <w:szCs w:val="22"/>
                <w:lang w:val="en-US"/>
              </w:rPr>
              <w:t>на</w:t>
            </w:r>
            <w:proofErr w:type="spellEnd"/>
            <w:r w:rsidRPr="00A65692">
              <w:rPr>
                <w:sz w:val="22"/>
                <w:szCs w:val="22"/>
                <w:lang w:val="en-US"/>
              </w:rPr>
              <w:t xml:space="preserve"> </w:t>
            </w:r>
            <w:proofErr w:type="spellStart"/>
            <w:r w:rsidRPr="00A65692">
              <w:rPr>
                <w:sz w:val="22"/>
                <w:szCs w:val="22"/>
                <w:lang w:val="en-US"/>
              </w:rPr>
              <w:t>телефон</w:t>
            </w:r>
            <w:proofErr w:type="spellEnd"/>
            <w:r w:rsidRPr="00A65692">
              <w:rPr>
                <w:sz w:val="22"/>
                <w:szCs w:val="22"/>
                <w:lang w:val="en-US"/>
              </w:rPr>
              <w:t>*</w:t>
            </w:r>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rPr>
                <w:sz w:val="22"/>
                <w:szCs w:val="22"/>
                <w:lang w:val="en-US"/>
              </w:rPr>
            </w:pPr>
          </w:p>
        </w:tc>
      </w:tr>
      <w:tr w:rsidR="00610FFF" w:rsidRPr="00A65692" w:rsidTr="00047CEB">
        <w:trPr>
          <w:trHeight w:hRule="exact" w:val="312"/>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left="64"/>
              <w:rPr>
                <w:sz w:val="22"/>
                <w:szCs w:val="22"/>
                <w:lang w:val="en-US"/>
              </w:rPr>
            </w:pPr>
            <w:proofErr w:type="spellStart"/>
            <w:r w:rsidRPr="00A65692">
              <w:rPr>
                <w:sz w:val="22"/>
                <w:szCs w:val="22"/>
                <w:lang w:val="en-US"/>
              </w:rPr>
              <w:t>Електронска</w:t>
            </w:r>
            <w:proofErr w:type="spellEnd"/>
            <w:r w:rsidRPr="00A65692">
              <w:rPr>
                <w:sz w:val="22"/>
                <w:szCs w:val="22"/>
                <w:lang w:val="en-US"/>
              </w:rPr>
              <w:t xml:space="preserve"> </w:t>
            </w:r>
            <w:proofErr w:type="spellStart"/>
            <w:r w:rsidRPr="00A65692">
              <w:rPr>
                <w:sz w:val="22"/>
                <w:szCs w:val="22"/>
                <w:lang w:val="en-US"/>
              </w:rPr>
              <w:t>пошта</w:t>
            </w:r>
            <w:proofErr w:type="spellEnd"/>
            <w:r w:rsidRPr="00A65692">
              <w:rPr>
                <w:sz w:val="22"/>
                <w:szCs w:val="22"/>
                <w:lang w:val="en-US"/>
              </w:rPr>
              <w:t>*</w:t>
            </w:r>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rPr>
                <w:sz w:val="22"/>
                <w:szCs w:val="22"/>
                <w:lang w:val="en-US"/>
              </w:rPr>
            </w:pPr>
          </w:p>
        </w:tc>
      </w:tr>
      <w:tr w:rsidR="00610FFF" w:rsidRPr="00A65692" w:rsidTr="00047CEB">
        <w:trPr>
          <w:trHeight w:hRule="exact" w:val="308"/>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left="64"/>
              <w:rPr>
                <w:sz w:val="22"/>
                <w:szCs w:val="22"/>
                <w:lang w:val="en-US"/>
              </w:rPr>
            </w:pPr>
            <w:proofErr w:type="spellStart"/>
            <w:r w:rsidRPr="00A65692">
              <w:rPr>
                <w:sz w:val="22"/>
                <w:szCs w:val="22"/>
                <w:lang w:val="en-US"/>
              </w:rPr>
              <w:t>Факс</w:t>
            </w:r>
            <w:proofErr w:type="spellEnd"/>
            <w:r w:rsidRPr="00A65692">
              <w:rPr>
                <w:sz w:val="22"/>
                <w:szCs w:val="22"/>
                <w:lang w:val="en-US"/>
              </w:rPr>
              <w:t>*</w:t>
            </w:r>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rPr>
                <w:sz w:val="22"/>
                <w:szCs w:val="22"/>
                <w:lang w:val="en-US"/>
              </w:rPr>
            </w:pPr>
          </w:p>
        </w:tc>
      </w:tr>
      <w:tr w:rsidR="00610FFF" w:rsidRPr="00A65692" w:rsidTr="00047CEB">
        <w:trPr>
          <w:trHeight w:hRule="exact" w:val="326"/>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left="64"/>
              <w:rPr>
                <w:sz w:val="22"/>
                <w:szCs w:val="22"/>
                <w:lang w:val="en-US"/>
              </w:rPr>
            </w:pPr>
            <w:proofErr w:type="spellStart"/>
            <w:r w:rsidRPr="00A65692">
              <w:rPr>
                <w:sz w:val="22"/>
                <w:szCs w:val="22"/>
                <w:lang w:val="en-US"/>
              </w:rPr>
              <w:t>Интернет</w:t>
            </w:r>
            <w:proofErr w:type="spellEnd"/>
            <w:r w:rsidRPr="00A65692">
              <w:rPr>
                <w:sz w:val="22"/>
                <w:szCs w:val="22"/>
                <w:lang w:val="en-US"/>
              </w:rPr>
              <w:t xml:space="preserve"> - </w:t>
            </w:r>
            <w:proofErr w:type="spellStart"/>
            <w:r w:rsidRPr="00A65692">
              <w:rPr>
                <w:sz w:val="22"/>
                <w:szCs w:val="22"/>
                <w:lang w:val="en-US"/>
              </w:rPr>
              <w:t>страница</w:t>
            </w:r>
            <w:proofErr w:type="spellEnd"/>
            <w:r w:rsidRPr="00A65692">
              <w:rPr>
                <w:sz w:val="22"/>
                <w:szCs w:val="22"/>
                <w:lang w:val="en-US"/>
              </w:rPr>
              <w:t>*</w:t>
            </w:r>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rPr>
                <w:sz w:val="22"/>
                <w:szCs w:val="22"/>
                <w:lang w:val="en-US"/>
              </w:rPr>
            </w:pPr>
          </w:p>
        </w:tc>
      </w:tr>
    </w:tbl>
    <w:p w:rsidR="00610FFF" w:rsidRPr="00A65692" w:rsidRDefault="00610FFF" w:rsidP="00610FFF">
      <w:pPr>
        <w:rPr>
          <w:sz w:val="22"/>
          <w:szCs w:val="22"/>
        </w:rPr>
      </w:pPr>
      <w:r w:rsidRPr="00A65692">
        <w:rPr>
          <w:sz w:val="22"/>
          <w:szCs w:val="22"/>
        </w:rPr>
        <w:t>* Овие информации не се задолжителни за кредиторот/кредитниот посредник</w:t>
      </w:r>
    </w:p>
    <w:p w:rsidR="00C45B3C" w:rsidRPr="00A65692" w:rsidRDefault="00C45B3C" w:rsidP="00347F6A">
      <w:pPr>
        <w:pStyle w:val="ListParagraph"/>
        <w:ind w:left="0"/>
        <w:rPr>
          <w:b/>
          <w:sz w:val="22"/>
          <w:szCs w:val="22"/>
        </w:rPr>
      </w:pPr>
    </w:p>
    <w:p w:rsidR="00610FFF" w:rsidRPr="00A65692" w:rsidRDefault="00610FFF" w:rsidP="003C0B21">
      <w:pPr>
        <w:pStyle w:val="ListParagraph"/>
        <w:numPr>
          <w:ilvl w:val="0"/>
          <w:numId w:val="7"/>
        </w:numPr>
        <w:rPr>
          <w:b/>
          <w:sz w:val="22"/>
          <w:szCs w:val="22"/>
        </w:rPr>
      </w:pPr>
      <w:r w:rsidRPr="00A65692">
        <w:rPr>
          <w:b/>
          <w:sz w:val="22"/>
          <w:szCs w:val="22"/>
        </w:rPr>
        <w:t>Податоци за кредитниот производ</w:t>
      </w:r>
    </w:p>
    <w:tbl>
      <w:tblPr>
        <w:tblW w:w="9624" w:type="dxa"/>
        <w:tblInd w:w="4" w:type="dxa"/>
        <w:tblLayout w:type="fixed"/>
        <w:tblCellMar>
          <w:left w:w="0" w:type="dxa"/>
          <w:right w:w="0" w:type="dxa"/>
        </w:tblCellMar>
        <w:tblLook w:val="0000" w:firstRow="0" w:lastRow="0" w:firstColumn="0" w:lastColumn="0" w:noHBand="0" w:noVBand="0"/>
      </w:tblPr>
      <w:tblGrid>
        <w:gridCol w:w="5102"/>
        <w:gridCol w:w="4522"/>
      </w:tblGrid>
      <w:tr w:rsidR="00610FFF" w:rsidRPr="00A65692" w:rsidTr="00597963">
        <w:trPr>
          <w:trHeight w:hRule="exact" w:val="301"/>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right="2060"/>
              <w:jc w:val="right"/>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1</w:t>
            </w:r>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3E38E1">
            <w:pPr>
              <w:ind w:right="1644"/>
              <w:jc w:val="right"/>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2</w:t>
            </w:r>
          </w:p>
        </w:tc>
      </w:tr>
      <w:tr w:rsidR="00610FFF" w:rsidRPr="00A65692" w:rsidTr="00597963">
        <w:trPr>
          <w:trHeight w:hRule="exact" w:val="839"/>
        </w:trPr>
        <w:tc>
          <w:tcPr>
            <w:tcW w:w="5102" w:type="dxa"/>
            <w:tcBorders>
              <w:top w:val="single" w:sz="2" w:space="0" w:color="auto"/>
              <w:left w:val="single" w:sz="2" w:space="0" w:color="auto"/>
              <w:bottom w:val="single" w:sz="2" w:space="0" w:color="auto"/>
              <w:right w:val="single" w:sz="2" w:space="0" w:color="auto"/>
            </w:tcBorders>
            <w:vAlign w:val="center"/>
          </w:tcPr>
          <w:p w:rsidR="00610FFF" w:rsidRPr="00A65692" w:rsidRDefault="00610FFF" w:rsidP="00F76E07">
            <w:pPr>
              <w:rPr>
                <w:sz w:val="22"/>
                <w:szCs w:val="22"/>
                <w:lang w:val="en-US"/>
              </w:rPr>
            </w:pPr>
            <w:proofErr w:type="spellStart"/>
            <w:r w:rsidRPr="00A65692">
              <w:rPr>
                <w:sz w:val="22"/>
                <w:szCs w:val="22"/>
                <w:lang w:val="en-US"/>
              </w:rPr>
              <w:t>Вид</w:t>
            </w:r>
            <w:proofErr w:type="spellEnd"/>
            <w:r w:rsidRPr="00A65692">
              <w:rPr>
                <w:sz w:val="22"/>
                <w:szCs w:val="22"/>
                <w:lang w:val="en-US"/>
              </w:rPr>
              <w:t xml:space="preserve"> </w:t>
            </w:r>
            <w:proofErr w:type="spellStart"/>
            <w:r w:rsidRPr="00A65692">
              <w:rPr>
                <w:sz w:val="22"/>
                <w:szCs w:val="22"/>
                <w:lang w:val="en-US"/>
              </w:rPr>
              <w:t>на</w:t>
            </w:r>
            <w:proofErr w:type="spellEnd"/>
            <w:r w:rsidRPr="00A65692">
              <w:rPr>
                <w:sz w:val="22"/>
                <w:szCs w:val="22"/>
                <w:lang w:val="en-US"/>
              </w:rPr>
              <w:t xml:space="preserve"> </w:t>
            </w:r>
            <w:proofErr w:type="spellStart"/>
            <w:r w:rsidRPr="00A65692">
              <w:rPr>
                <w:sz w:val="22"/>
                <w:szCs w:val="22"/>
                <w:lang w:val="en-US"/>
              </w:rPr>
              <w:t>кредитот</w:t>
            </w:r>
            <w:proofErr w:type="spellEnd"/>
          </w:p>
        </w:tc>
        <w:tc>
          <w:tcPr>
            <w:tcW w:w="4522" w:type="dxa"/>
            <w:tcBorders>
              <w:top w:val="single" w:sz="2" w:space="0" w:color="auto"/>
              <w:left w:val="single" w:sz="2" w:space="0" w:color="auto"/>
              <w:bottom w:val="single" w:sz="2" w:space="0" w:color="auto"/>
              <w:right w:val="single" w:sz="2" w:space="0" w:color="auto"/>
            </w:tcBorders>
            <w:vAlign w:val="center"/>
          </w:tcPr>
          <w:p w:rsidR="00610FFF" w:rsidRPr="00A65692" w:rsidRDefault="00D42AD9" w:rsidP="00783314">
            <w:pPr>
              <w:jc w:val="center"/>
              <w:rPr>
                <w:iCs/>
                <w:spacing w:val="2"/>
                <w:sz w:val="22"/>
                <w:szCs w:val="22"/>
              </w:rPr>
            </w:pPr>
            <w:r w:rsidRPr="00A65692">
              <w:rPr>
                <w:iCs/>
                <w:spacing w:val="2"/>
                <w:sz w:val="22"/>
                <w:szCs w:val="22"/>
              </w:rPr>
              <w:t>Дозволено пречекорување</w:t>
            </w:r>
            <w:r w:rsidR="001402F5" w:rsidRPr="00A65692">
              <w:rPr>
                <w:iCs/>
                <w:spacing w:val="2"/>
                <w:sz w:val="22"/>
                <w:szCs w:val="22"/>
              </w:rPr>
              <w:t xml:space="preserve"> за </w:t>
            </w:r>
            <w:r w:rsidR="002B0382" w:rsidRPr="00A65692">
              <w:rPr>
                <w:iCs/>
                <w:spacing w:val="2"/>
                <w:sz w:val="22"/>
                <w:szCs w:val="22"/>
              </w:rPr>
              <w:t>клиенти со плата</w:t>
            </w:r>
            <w:r w:rsidR="00526CEC" w:rsidRPr="00A65692">
              <w:rPr>
                <w:iCs/>
                <w:spacing w:val="2"/>
                <w:sz w:val="22"/>
                <w:szCs w:val="22"/>
              </w:rPr>
              <w:t>/пензија</w:t>
            </w:r>
            <w:r w:rsidR="002B0382" w:rsidRPr="00A65692">
              <w:rPr>
                <w:iCs/>
                <w:spacing w:val="2"/>
                <w:sz w:val="22"/>
                <w:szCs w:val="22"/>
              </w:rPr>
              <w:t xml:space="preserve"> во Банката</w:t>
            </w:r>
            <w:r w:rsidR="00783314" w:rsidRPr="00A65692">
              <w:rPr>
                <w:iCs/>
                <w:spacing w:val="2"/>
                <w:sz w:val="22"/>
                <w:szCs w:val="22"/>
              </w:rPr>
              <w:t xml:space="preserve"> со полиса за ризико осигурување</w:t>
            </w:r>
            <w:r w:rsidR="000A6C02" w:rsidRPr="00A65692">
              <w:rPr>
                <w:iCs/>
                <w:spacing w:val="2"/>
                <w:sz w:val="22"/>
                <w:szCs w:val="22"/>
              </w:rPr>
              <w:t xml:space="preserve"> на живот</w:t>
            </w:r>
          </w:p>
        </w:tc>
      </w:tr>
      <w:tr w:rsidR="00610FFF" w:rsidRPr="00A65692" w:rsidTr="00597963">
        <w:trPr>
          <w:trHeight w:hRule="exact" w:val="1618"/>
        </w:trPr>
        <w:tc>
          <w:tcPr>
            <w:tcW w:w="5102" w:type="dxa"/>
            <w:tcBorders>
              <w:top w:val="single" w:sz="2" w:space="0" w:color="auto"/>
              <w:left w:val="single" w:sz="2" w:space="0" w:color="auto"/>
              <w:bottom w:val="single" w:sz="2" w:space="0" w:color="auto"/>
              <w:right w:val="single" w:sz="2" w:space="0" w:color="auto"/>
            </w:tcBorders>
          </w:tcPr>
          <w:p w:rsidR="00DC3702" w:rsidRPr="00A65692" w:rsidRDefault="00DC3702" w:rsidP="00242BF2">
            <w:pPr>
              <w:rPr>
                <w:sz w:val="22"/>
                <w:szCs w:val="22"/>
              </w:rPr>
            </w:pPr>
            <w:r w:rsidRPr="00A65692">
              <w:rPr>
                <w:sz w:val="22"/>
                <w:szCs w:val="22"/>
              </w:rPr>
              <w:t>Вкупен износ на кредитот којшто вклучува:</w:t>
            </w:r>
          </w:p>
          <w:p w:rsidR="00242BF2" w:rsidRPr="00A65692" w:rsidRDefault="00242BF2" w:rsidP="00242BF2">
            <w:pPr>
              <w:rPr>
                <w:sz w:val="22"/>
                <w:szCs w:val="22"/>
              </w:rPr>
            </w:pPr>
          </w:p>
          <w:p w:rsidR="00610FFF" w:rsidRPr="00A65692" w:rsidRDefault="00DC3702" w:rsidP="00242BF2">
            <w:pPr>
              <w:numPr>
                <w:ilvl w:val="0"/>
                <w:numId w:val="4"/>
              </w:numPr>
              <w:rPr>
                <w:sz w:val="22"/>
                <w:szCs w:val="22"/>
              </w:rPr>
            </w:pPr>
            <w:r w:rsidRPr="00A65692">
              <w:rPr>
                <w:sz w:val="22"/>
                <w:szCs w:val="22"/>
              </w:rPr>
              <w:t>валутата во која е изразена главницата или за која е поврзана главницата,</w:t>
            </w:r>
          </w:p>
          <w:p w:rsidR="00242BF2" w:rsidRPr="00A65692" w:rsidRDefault="00242BF2" w:rsidP="00242BF2">
            <w:pPr>
              <w:ind w:left="422"/>
              <w:rPr>
                <w:sz w:val="22"/>
                <w:szCs w:val="22"/>
              </w:rPr>
            </w:pPr>
          </w:p>
          <w:p w:rsidR="000F520B" w:rsidRPr="00A65692" w:rsidRDefault="000F520B" w:rsidP="00242BF2">
            <w:pPr>
              <w:numPr>
                <w:ilvl w:val="0"/>
                <w:numId w:val="4"/>
              </w:numPr>
              <w:rPr>
                <w:sz w:val="22"/>
                <w:szCs w:val="22"/>
              </w:rPr>
            </w:pPr>
            <w:r w:rsidRPr="00A65692">
              <w:rPr>
                <w:sz w:val="22"/>
                <w:szCs w:val="22"/>
              </w:rPr>
              <w:t>вкупен износ во денари, за кредитите одобрени во денари</w:t>
            </w:r>
            <w:r w:rsidR="004B4963" w:rsidRPr="00A65692">
              <w:rPr>
                <w:sz w:val="22"/>
                <w:szCs w:val="22"/>
              </w:rPr>
              <w:t>,</w:t>
            </w:r>
          </w:p>
          <w:p w:rsidR="000F520B" w:rsidRPr="00A65692" w:rsidRDefault="000F520B" w:rsidP="00242BF2">
            <w:pPr>
              <w:ind w:left="425"/>
              <w:rPr>
                <w:sz w:val="22"/>
                <w:szCs w:val="22"/>
              </w:rPr>
            </w:pPr>
          </w:p>
        </w:tc>
        <w:tc>
          <w:tcPr>
            <w:tcW w:w="4522" w:type="dxa"/>
            <w:tcBorders>
              <w:top w:val="single" w:sz="2" w:space="0" w:color="auto"/>
              <w:left w:val="single" w:sz="2" w:space="0" w:color="auto"/>
              <w:bottom w:val="single" w:sz="2" w:space="0" w:color="auto"/>
              <w:right w:val="single" w:sz="2" w:space="0" w:color="auto"/>
            </w:tcBorders>
          </w:tcPr>
          <w:p w:rsidR="00610FFF" w:rsidRPr="00A65692" w:rsidRDefault="00610FFF" w:rsidP="003E38E1">
            <w:pPr>
              <w:spacing w:after="216"/>
              <w:rPr>
                <w:iCs/>
                <w:spacing w:val="2"/>
                <w:sz w:val="22"/>
                <w:szCs w:val="22"/>
              </w:rPr>
            </w:pPr>
          </w:p>
          <w:p w:rsidR="00996B55" w:rsidRPr="00A65692" w:rsidRDefault="00444632" w:rsidP="00996B55">
            <w:pPr>
              <w:spacing w:before="216"/>
              <w:jc w:val="center"/>
              <w:rPr>
                <w:sz w:val="22"/>
                <w:szCs w:val="22"/>
              </w:rPr>
            </w:pPr>
            <w:r w:rsidRPr="00A65692">
              <w:rPr>
                <w:sz w:val="22"/>
                <w:szCs w:val="22"/>
              </w:rPr>
              <w:t>Д</w:t>
            </w:r>
            <w:r w:rsidR="00996B55" w:rsidRPr="00A65692">
              <w:rPr>
                <w:sz w:val="22"/>
                <w:szCs w:val="22"/>
              </w:rPr>
              <w:t>енари</w:t>
            </w:r>
          </w:p>
          <w:p w:rsidR="00996B55" w:rsidRPr="00A65692" w:rsidRDefault="00996B55" w:rsidP="004B4963">
            <w:pPr>
              <w:jc w:val="center"/>
              <w:rPr>
                <w:iCs/>
                <w:sz w:val="22"/>
                <w:szCs w:val="22"/>
                <w:u w:val="single"/>
              </w:rPr>
            </w:pPr>
          </w:p>
          <w:p w:rsidR="004B4963" w:rsidRPr="00A65692" w:rsidRDefault="002E4152" w:rsidP="004B4963">
            <w:pPr>
              <w:jc w:val="center"/>
              <w:rPr>
                <w:iCs/>
                <w:spacing w:val="2"/>
                <w:sz w:val="22"/>
                <w:szCs w:val="22"/>
                <w:lang w:val="en-US"/>
              </w:rPr>
            </w:pPr>
            <w:r w:rsidRPr="00A65692">
              <w:rPr>
                <w:iCs/>
                <w:sz w:val="22"/>
                <w:szCs w:val="22"/>
                <w:lang w:val="en-US"/>
              </w:rPr>
              <w:t>4</w:t>
            </w:r>
            <w:r w:rsidR="00A10EB0" w:rsidRPr="00A65692">
              <w:rPr>
                <w:iCs/>
                <w:sz w:val="22"/>
                <w:szCs w:val="22"/>
                <w:lang w:val="en-US"/>
              </w:rPr>
              <w:t>0.000,00</w:t>
            </w:r>
          </w:p>
          <w:p w:rsidR="004B4963" w:rsidRPr="00A65692" w:rsidRDefault="004B4963" w:rsidP="003E38E1">
            <w:pPr>
              <w:spacing w:after="216"/>
              <w:rPr>
                <w:iCs/>
                <w:spacing w:val="2"/>
                <w:sz w:val="22"/>
                <w:szCs w:val="22"/>
              </w:rPr>
            </w:pPr>
          </w:p>
        </w:tc>
      </w:tr>
      <w:tr w:rsidR="00DA3C4D" w:rsidRPr="00A65692" w:rsidTr="00597963">
        <w:trPr>
          <w:trHeight w:hRule="exact" w:val="1698"/>
        </w:trPr>
        <w:tc>
          <w:tcPr>
            <w:tcW w:w="5102" w:type="dxa"/>
            <w:tcBorders>
              <w:top w:val="single" w:sz="2" w:space="0" w:color="auto"/>
              <w:left w:val="single" w:sz="2" w:space="0" w:color="auto"/>
              <w:bottom w:val="single" w:sz="2" w:space="0" w:color="auto"/>
              <w:right w:val="single" w:sz="2" w:space="0" w:color="auto"/>
            </w:tcBorders>
            <w:vAlign w:val="center"/>
          </w:tcPr>
          <w:p w:rsidR="00DA3C4D" w:rsidRPr="00A65692" w:rsidRDefault="001A1A61" w:rsidP="00F76E07">
            <w:pPr>
              <w:ind w:left="-1"/>
              <w:rPr>
                <w:iCs/>
                <w:spacing w:val="2"/>
                <w:sz w:val="22"/>
                <w:szCs w:val="22"/>
              </w:rPr>
            </w:pPr>
            <w:r w:rsidRPr="00A65692">
              <w:rPr>
                <w:sz w:val="22"/>
                <w:szCs w:val="22"/>
              </w:rPr>
              <w:t>Услови за искористување на кредитот (како и кога ќе се се врши исплата на средствата врз основа на кредитот)</w:t>
            </w:r>
          </w:p>
        </w:tc>
        <w:tc>
          <w:tcPr>
            <w:tcW w:w="4522" w:type="dxa"/>
            <w:tcBorders>
              <w:top w:val="single" w:sz="2" w:space="0" w:color="auto"/>
              <w:left w:val="single" w:sz="2" w:space="0" w:color="auto"/>
              <w:bottom w:val="single" w:sz="2" w:space="0" w:color="auto"/>
              <w:right w:val="single" w:sz="2" w:space="0" w:color="auto"/>
            </w:tcBorders>
            <w:vAlign w:val="center"/>
          </w:tcPr>
          <w:p w:rsidR="00DA3C4D" w:rsidRDefault="00D969A7" w:rsidP="006944C2">
            <w:pPr>
              <w:rPr>
                <w:iCs/>
                <w:spacing w:val="2"/>
                <w:sz w:val="22"/>
                <w:szCs w:val="22"/>
              </w:rPr>
            </w:pPr>
            <w:r w:rsidRPr="00A65692">
              <w:rPr>
                <w:iCs/>
                <w:spacing w:val="2"/>
                <w:sz w:val="22"/>
                <w:szCs w:val="22"/>
              </w:rPr>
              <w:t>По потреба на потрошувачот</w:t>
            </w:r>
            <w:r w:rsidR="001A1A61" w:rsidRPr="00A65692">
              <w:rPr>
                <w:iCs/>
                <w:spacing w:val="2"/>
                <w:sz w:val="22"/>
                <w:szCs w:val="22"/>
              </w:rPr>
              <w:t>, по комплетирање на договорите и останатата исплатна документација</w:t>
            </w:r>
            <w:r w:rsidR="00597963">
              <w:rPr>
                <w:iCs/>
                <w:spacing w:val="2"/>
                <w:sz w:val="22"/>
                <w:szCs w:val="22"/>
              </w:rPr>
              <w:t>.</w:t>
            </w:r>
          </w:p>
          <w:p w:rsidR="00597963" w:rsidRPr="002F4E62" w:rsidRDefault="00597963" w:rsidP="006944C2">
            <w:pPr>
              <w:rPr>
                <w:color w:val="000000"/>
                <w:sz w:val="22"/>
                <w:szCs w:val="22"/>
              </w:rPr>
            </w:pPr>
            <w:r w:rsidRPr="002F4E62">
              <w:rPr>
                <w:color w:val="000000"/>
                <w:sz w:val="22"/>
                <w:szCs w:val="22"/>
              </w:rPr>
              <w:t>Корисник на платежна сметка со основни функции не може да биде корисник на</w:t>
            </w:r>
          </w:p>
          <w:p w:rsidR="00597963" w:rsidRPr="00A65692" w:rsidRDefault="006944C2" w:rsidP="006944C2">
            <w:pPr>
              <w:rPr>
                <w:iCs/>
                <w:spacing w:val="2"/>
                <w:sz w:val="22"/>
                <w:szCs w:val="22"/>
              </w:rPr>
            </w:pPr>
            <w:r>
              <w:rPr>
                <w:color w:val="000000"/>
                <w:sz w:val="22"/>
                <w:szCs w:val="22"/>
              </w:rPr>
              <w:t>дозволено п</w:t>
            </w:r>
            <w:r w:rsidR="00597963" w:rsidRPr="002F4E62">
              <w:rPr>
                <w:color w:val="000000"/>
                <w:sz w:val="22"/>
                <w:szCs w:val="22"/>
              </w:rPr>
              <w:t>р</w:t>
            </w:r>
            <w:r>
              <w:rPr>
                <w:color w:val="000000"/>
                <w:sz w:val="22"/>
                <w:szCs w:val="22"/>
              </w:rPr>
              <w:t>е</w:t>
            </w:r>
            <w:r w:rsidR="00597963" w:rsidRPr="002F4E62">
              <w:rPr>
                <w:color w:val="000000"/>
                <w:sz w:val="22"/>
                <w:szCs w:val="22"/>
              </w:rPr>
              <w:t>чекорување</w:t>
            </w:r>
          </w:p>
        </w:tc>
      </w:tr>
      <w:tr w:rsidR="00AB2711" w:rsidRPr="00A65692" w:rsidTr="00597963">
        <w:trPr>
          <w:trHeight w:hRule="exact" w:val="527"/>
        </w:trPr>
        <w:tc>
          <w:tcPr>
            <w:tcW w:w="5102" w:type="dxa"/>
            <w:tcBorders>
              <w:top w:val="single" w:sz="2" w:space="0" w:color="auto"/>
              <w:left w:val="single" w:sz="2" w:space="0" w:color="auto"/>
              <w:bottom w:val="single" w:sz="2" w:space="0" w:color="auto"/>
              <w:right w:val="single" w:sz="2" w:space="0" w:color="auto"/>
            </w:tcBorders>
            <w:vAlign w:val="center"/>
          </w:tcPr>
          <w:p w:rsidR="00AB2711" w:rsidRPr="00A65692" w:rsidRDefault="00242BF2" w:rsidP="00F76E07">
            <w:pPr>
              <w:ind w:left="-1"/>
              <w:rPr>
                <w:sz w:val="22"/>
                <w:szCs w:val="22"/>
              </w:rPr>
            </w:pPr>
            <w:r w:rsidRPr="00A65692">
              <w:rPr>
                <w:sz w:val="22"/>
                <w:szCs w:val="22"/>
              </w:rPr>
              <w:t>Траење на договорот за кредит</w:t>
            </w:r>
          </w:p>
        </w:tc>
        <w:tc>
          <w:tcPr>
            <w:tcW w:w="4522" w:type="dxa"/>
            <w:tcBorders>
              <w:top w:val="single" w:sz="2" w:space="0" w:color="auto"/>
              <w:left w:val="single" w:sz="2" w:space="0" w:color="auto"/>
              <w:bottom w:val="single" w:sz="2" w:space="0" w:color="auto"/>
              <w:right w:val="single" w:sz="2" w:space="0" w:color="auto"/>
            </w:tcBorders>
            <w:vAlign w:val="center"/>
          </w:tcPr>
          <w:p w:rsidR="00AB2711" w:rsidRPr="00A65692" w:rsidRDefault="00DD4A86" w:rsidP="00F747F9">
            <w:pPr>
              <w:jc w:val="center"/>
              <w:rPr>
                <w:iCs/>
                <w:sz w:val="22"/>
                <w:szCs w:val="22"/>
              </w:rPr>
            </w:pPr>
            <w:r w:rsidRPr="00A65692">
              <w:rPr>
                <w:iCs/>
                <w:spacing w:val="2"/>
                <w:sz w:val="22"/>
                <w:szCs w:val="22"/>
              </w:rPr>
              <w:t>1 (една) година, со можност за продолжување</w:t>
            </w:r>
            <w:r w:rsidR="0014615D" w:rsidRPr="00A65692">
              <w:rPr>
                <w:iCs/>
                <w:spacing w:val="2"/>
                <w:sz w:val="22"/>
                <w:szCs w:val="22"/>
              </w:rPr>
              <w:t xml:space="preserve"> на ист рок</w:t>
            </w:r>
          </w:p>
        </w:tc>
      </w:tr>
      <w:tr w:rsidR="00382685" w:rsidRPr="00A65692" w:rsidTr="00377B32">
        <w:trPr>
          <w:trHeight w:hRule="exact" w:val="1366"/>
        </w:trPr>
        <w:tc>
          <w:tcPr>
            <w:tcW w:w="5102" w:type="dxa"/>
            <w:tcBorders>
              <w:top w:val="single" w:sz="2" w:space="0" w:color="auto"/>
              <w:left w:val="single" w:sz="2" w:space="0" w:color="auto"/>
              <w:bottom w:val="single" w:sz="2" w:space="0" w:color="auto"/>
              <w:right w:val="single" w:sz="2" w:space="0" w:color="auto"/>
            </w:tcBorders>
            <w:vAlign w:val="center"/>
          </w:tcPr>
          <w:p w:rsidR="00382685" w:rsidRPr="00A65692" w:rsidRDefault="00345AE6" w:rsidP="00F76E07">
            <w:pPr>
              <w:ind w:left="-1"/>
              <w:rPr>
                <w:sz w:val="22"/>
                <w:szCs w:val="22"/>
              </w:rPr>
            </w:pPr>
            <w:r w:rsidRPr="00A65692">
              <w:rPr>
                <w:sz w:val="22"/>
                <w:szCs w:val="22"/>
              </w:rPr>
              <w:t>Износ на поединечните плаќања,  и онаму каде е релевантно за видот на кредитот, број на ратите, динамика или редоследот на пристигнување на ратите коишто треба да се платат</w:t>
            </w:r>
          </w:p>
        </w:tc>
        <w:tc>
          <w:tcPr>
            <w:tcW w:w="4522" w:type="dxa"/>
            <w:tcBorders>
              <w:top w:val="single" w:sz="2" w:space="0" w:color="auto"/>
              <w:left w:val="single" w:sz="2" w:space="0" w:color="auto"/>
              <w:bottom w:val="single" w:sz="2" w:space="0" w:color="auto"/>
              <w:right w:val="single" w:sz="2" w:space="0" w:color="auto"/>
            </w:tcBorders>
            <w:vAlign w:val="center"/>
          </w:tcPr>
          <w:p w:rsidR="00382685" w:rsidRPr="00A65692" w:rsidRDefault="008862C2" w:rsidP="00C52807">
            <w:pPr>
              <w:jc w:val="center"/>
              <w:rPr>
                <w:iCs/>
                <w:sz w:val="22"/>
                <w:szCs w:val="22"/>
              </w:rPr>
            </w:pPr>
            <w:r w:rsidRPr="00A65692">
              <w:rPr>
                <w:iCs/>
                <w:sz w:val="22"/>
                <w:szCs w:val="22"/>
              </w:rPr>
              <w:t>Нема месечни рати кај овој вид пласман</w:t>
            </w:r>
          </w:p>
        </w:tc>
      </w:tr>
      <w:tr w:rsidR="00B8113F" w:rsidRPr="00A65692" w:rsidTr="00597963">
        <w:trPr>
          <w:trHeight w:hRule="exact" w:val="5902"/>
        </w:trPr>
        <w:tc>
          <w:tcPr>
            <w:tcW w:w="5102" w:type="dxa"/>
            <w:tcBorders>
              <w:top w:val="single" w:sz="2" w:space="0" w:color="auto"/>
              <w:left w:val="single" w:sz="2" w:space="0" w:color="auto"/>
              <w:bottom w:val="single" w:sz="2" w:space="0" w:color="auto"/>
              <w:right w:val="single" w:sz="2" w:space="0" w:color="auto"/>
            </w:tcBorders>
            <w:vAlign w:val="center"/>
          </w:tcPr>
          <w:p w:rsidR="00242BF2" w:rsidRPr="00A65692" w:rsidRDefault="00242BF2" w:rsidP="00242BF2">
            <w:pPr>
              <w:rPr>
                <w:b/>
                <w:bCs/>
                <w:sz w:val="22"/>
                <w:szCs w:val="22"/>
              </w:rPr>
            </w:pPr>
            <w:r w:rsidRPr="00A65692">
              <w:rPr>
                <w:sz w:val="22"/>
                <w:szCs w:val="22"/>
              </w:rPr>
              <w:lastRenderedPageBreak/>
              <w:t>Гаранции за кредитот, доколку е применливо</w:t>
            </w:r>
            <w:r w:rsidRPr="00A65692">
              <w:rPr>
                <w:b/>
                <w:bCs/>
                <w:sz w:val="22"/>
                <w:szCs w:val="22"/>
              </w:rPr>
              <w:t xml:space="preserve"> </w:t>
            </w:r>
          </w:p>
          <w:p w:rsidR="00B8113F" w:rsidRPr="00A65692" w:rsidRDefault="00242BF2" w:rsidP="00242BF2">
            <w:pPr>
              <w:ind w:left="62"/>
              <w:rPr>
                <w:sz w:val="22"/>
                <w:szCs w:val="22"/>
              </w:rPr>
            </w:pPr>
            <w:r w:rsidRPr="00A65692">
              <w:rPr>
                <w:b/>
                <w:bCs/>
                <w:sz w:val="22"/>
                <w:szCs w:val="22"/>
              </w:rPr>
              <w:t xml:space="preserve"> </w:t>
            </w:r>
            <w:r w:rsidRPr="00A65692">
              <w:rPr>
                <w:sz w:val="22"/>
                <w:szCs w:val="22"/>
              </w:rPr>
              <w:t xml:space="preserve">                                                                                                                                                                     (</w:t>
            </w:r>
            <w:r w:rsidRPr="00A65692">
              <w:rPr>
                <w:iCs/>
                <w:sz w:val="22"/>
                <w:szCs w:val="22"/>
              </w:rPr>
              <w:t>опис на инструментот за обезбедување којшто се бара од потрошувачот за склучување договор за потрошувачки кредит)</w:t>
            </w:r>
          </w:p>
        </w:tc>
        <w:tc>
          <w:tcPr>
            <w:tcW w:w="4522" w:type="dxa"/>
            <w:tcBorders>
              <w:top w:val="single" w:sz="2" w:space="0" w:color="auto"/>
              <w:left w:val="single" w:sz="2" w:space="0" w:color="auto"/>
              <w:bottom w:val="single" w:sz="2" w:space="0" w:color="auto"/>
              <w:right w:val="single" w:sz="2" w:space="0" w:color="auto"/>
            </w:tcBorders>
            <w:vAlign w:val="center"/>
          </w:tcPr>
          <w:p w:rsidR="00BF4723" w:rsidRPr="00A65692" w:rsidRDefault="00BF4723" w:rsidP="00BF4723">
            <w:pPr>
              <w:rPr>
                <w:b/>
                <w:iCs/>
                <w:sz w:val="22"/>
                <w:szCs w:val="22"/>
                <w:lang w:val="en-US"/>
              </w:rPr>
            </w:pPr>
            <w:r w:rsidRPr="00A65692">
              <w:rPr>
                <w:b/>
                <w:iCs/>
                <w:sz w:val="22"/>
                <w:szCs w:val="22"/>
              </w:rPr>
              <w:t>Обезбедување</w:t>
            </w:r>
          </w:p>
          <w:p w:rsidR="00AA2878" w:rsidRPr="00A65692" w:rsidRDefault="00502F7D" w:rsidP="00BF4723">
            <w:pPr>
              <w:rPr>
                <w:iCs/>
                <w:sz w:val="22"/>
                <w:szCs w:val="22"/>
              </w:rPr>
            </w:pPr>
            <w:r w:rsidRPr="00A65692">
              <w:rPr>
                <w:iCs/>
                <w:sz w:val="22"/>
                <w:szCs w:val="22"/>
              </w:rPr>
              <w:t>-</w:t>
            </w:r>
            <w:r w:rsidR="00E82A32" w:rsidRPr="00A65692">
              <w:rPr>
                <w:b/>
                <w:iCs/>
                <w:sz w:val="22"/>
                <w:szCs w:val="22"/>
              </w:rPr>
              <w:t xml:space="preserve"> </w:t>
            </w:r>
            <w:r w:rsidRPr="00A65692">
              <w:rPr>
                <w:iCs/>
                <w:sz w:val="22"/>
                <w:szCs w:val="22"/>
              </w:rPr>
              <w:t>Договор за одобрување на дозволено пречекорување</w:t>
            </w:r>
          </w:p>
          <w:p w:rsidR="002531B3" w:rsidRPr="00A65692" w:rsidRDefault="00AA2878" w:rsidP="00316FEE">
            <w:pPr>
              <w:rPr>
                <w:iCs/>
                <w:sz w:val="22"/>
                <w:szCs w:val="22"/>
              </w:rPr>
            </w:pPr>
            <w:r w:rsidRPr="00A65692">
              <w:rPr>
                <w:iCs/>
                <w:sz w:val="22"/>
                <w:szCs w:val="22"/>
              </w:rPr>
              <w:t>-</w:t>
            </w:r>
            <w:r w:rsidR="00E82A32" w:rsidRPr="00A65692">
              <w:rPr>
                <w:iCs/>
                <w:sz w:val="22"/>
                <w:szCs w:val="22"/>
              </w:rPr>
              <w:t xml:space="preserve"> С</w:t>
            </w:r>
            <w:r w:rsidRPr="00A65692">
              <w:rPr>
                <w:iCs/>
                <w:sz w:val="22"/>
                <w:szCs w:val="22"/>
              </w:rPr>
              <w:t>огласност за административни забрани</w:t>
            </w:r>
          </w:p>
          <w:p w:rsidR="00CF64AE" w:rsidRPr="00A65692" w:rsidRDefault="002531B3" w:rsidP="00316FEE">
            <w:pPr>
              <w:rPr>
                <w:iCs/>
                <w:sz w:val="22"/>
                <w:szCs w:val="22"/>
              </w:rPr>
            </w:pPr>
            <w:r w:rsidRPr="00A65692">
              <w:rPr>
                <w:iCs/>
                <w:sz w:val="22"/>
                <w:szCs w:val="22"/>
                <w:lang w:val="en-US"/>
              </w:rPr>
              <w:t xml:space="preserve"> </w:t>
            </w:r>
            <w:r w:rsidRPr="00A65692">
              <w:rPr>
                <w:iCs/>
                <w:sz w:val="22"/>
                <w:szCs w:val="22"/>
              </w:rPr>
              <w:t>(за клиенти со плата во Банката)</w:t>
            </w:r>
          </w:p>
          <w:p w:rsidR="00E82A32" w:rsidRPr="00A65692" w:rsidRDefault="00E82A32" w:rsidP="00850FD2">
            <w:pPr>
              <w:numPr>
                <w:ilvl w:val="0"/>
                <w:numId w:val="10"/>
              </w:numPr>
              <w:ind w:left="129"/>
              <w:jc w:val="both"/>
              <w:rPr>
                <w:sz w:val="22"/>
                <w:szCs w:val="22"/>
              </w:rPr>
            </w:pPr>
            <w:r w:rsidRPr="00A65692">
              <w:rPr>
                <w:sz w:val="22"/>
                <w:szCs w:val="22"/>
              </w:rPr>
              <w:t xml:space="preserve">- </w:t>
            </w:r>
            <w:r w:rsidR="008C0493" w:rsidRPr="00A65692">
              <w:rPr>
                <w:sz w:val="22"/>
                <w:szCs w:val="22"/>
              </w:rPr>
              <w:t>Полиса за ризико осигурување на живот на КРЕДИТОКОРИСНИКОТ, винкулирана во корист на БАНКАТА, за износ на осигурана сума 50.000 мкд.</w:t>
            </w:r>
            <w:r w:rsidR="00112B51" w:rsidRPr="00A65692">
              <w:rPr>
                <w:rFonts w:ascii="Tahoma" w:hAnsi="Tahoma" w:cs="Tahoma"/>
                <w:sz w:val="18"/>
                <w:szCs w:val="18"/>
                <w:lang w:eastAsia="en-US"/>
              </w:rPr>
              <w:t xml:space="preserve"> </w:t>
            </w:r>
          </w:p>
          <w:p w:rsidR="00292622" w:rsidRPr="00A65692" w:rsidRDefault="00E82A32" w:rsidP="00850FD2">
            <w:pPr>
              <w:numPr>
                <w:ilvl w:val="0"/>
                <w:numId w:val="10"/>
              </w:numPr>
              <w:ind w:left="129"/>
              <w:jc w:val="both"/>
              <w:rPr>
                <w:sz w:val="22"/>
                <w:szCs w:val="22"/>
              </w:rPr>
            </w:pPr>
            <w:r w:rsidRPr="00A65692">
              <w:rPr>
                <w:rFonts w:ascii="Tahoma" w:hAnsi="Tahoma" w:cs="Tahoma"/>
                <w:sz w:val="18"/>
                <w:szCs w:val="18"/>
                <w:lang w:eastAsia="en-US"/>
              </w:rPr>
              <w:t xml:space="preserve">   </w:t>
            </w:r>
            <w:r w:rsidRPr="00A65692">
              <w:rPr>
                <w:sz w:val="22"/>
                <w:szCs w:val="22"/>
              </w:rPr>
              <w:t xml:space="preserve">Полисата е валидна со почеток на  нареден месец од датумот на  </w:t>
            </w:r>
            <w:r w:rsidR="00850FD2" w:rsidRPr="00A65692">
              <w:rPr>
                <w:sz w:val="22"/>
                <w:szCs w:val="22"/>
              </w:rPr>
              <w:t>склучување</w:t>
            </w:r>
            <w:r w:rsidRPr="00A65692">
              <w:rPr>
                <w:sz w:val="22"/>
                <w:szCs w:val="22"/>
              </w:rPr>
              <w:t xml:space="preserve"> </w:t>
            </w:r>
            <w:r w:rsidR="00850FD2" w:rsidRPr="00A65692">
              <w:rPr>
                <w:sz w:val="22"/>
                <w:szCs w:val="22"/>
              </w:rPr>
              <w:t>на Д</w:t>
            </w:r>
            <w:r w:rsidRPr="00A65692">
              <w:rPr>
                <w:sz w:val="22"/>
                <w:szCs w:val="22"/>
              </w:rPr>
              <w:t>оговорот за дозволено пречекорување</w:t>
            </w:r>
            <w:r w:rsidR="00850FD2" w:rsidRPr="00A65692">
              <w:rPr>
                <w:sz w:val="22"/>
                <w:szCs w:val="22"/>
              </w:rPr>
              <w:t>.</w:t>
            </w:r>
          </w:p>
          <w:p w:rsidR="00E82A32" w:rsidRPr="00A65692" w:rsidRDefault="00E82A32" w:rsidP="00850FD2">
            <w:pPr>
              <w:ind w:left="129"/>
              <w:jc w:val="both"/>
              <w:rPr>
                <w:sz w:val="22"/>
                <w:szCs w:val="22"/>
              </w:rPr>
            </w:pPr>
            <w:r w:rsidRPr="00A65692">
              <w:rPr>
                <w:sz w:val="22"/>
                <w:szCs w:val="22"/>
              </w:rPr>
              <w:t>-</w:t>
            </w:r>
            <w:r w:rsidR="00A149AB" w:rsidRPr="00A65692">
              <w:rPr>
                <w:sz w:val="22"/>
                <w:szCs w:val="22"/>
              </w:rPr>
              <w:t>БАНКАТА го обновува осигурувањето со полиса за ризико осигурување на живот.  Истата се обновува на секои 12 месеци, се додека е во важност Договорот, без посебно барање</w:t>
            </w:r>
            <w:r w:rsidRPr="00A65692">
              <w:rPr>
                <w:sz w:val="22"/>
                <w:szCs w:val="22"/>
              </w:rPr>
              <w:t xml:space="preserve"> од </w:t>
            </w:r>
            <w:r w:rsidR="00A149AB" w:rsidRPr="00A65692">
              <w:rPr>
                <w:sz w:val="22"/>
                <w:szCs w:val="22"/>
              </w:rPr>
              <w:t>кредитокорисникот/</w:t>
            </w:r>
          </w:p>
          <w:p w:rsidR="000D50FD" w:rsidRPr="00A65692" w:rsidRDefault="00A149AB" w:rsidP="00850FD2">
            <w:pPr>
              <w:ind w:left="129"/>
              <w:jc w:val="both"/>
              <w:rPr>
                <w:sz w:val="22"/>
                <w:szCs w:val="22"/>
              </w:rPr>
            </w:pPr>
            <w:r w:rsidRPr="00A65692">
              <w:rPr>
                <w:sz w:val="22"/>
                <w:szCs w:val="22"/>
              </w:rPr>
              <w:t xml:space="preserve">потрошувачот, доколку клиентот редовно ги измирува обврските по Договорот и го исполнува условот за возраст на осигуреник до 75 години. </w:t>
            </w:r>
          </w:p>
          <w:p w:rsidR="00CF64AE" w:rsidRPr="00A65692" w:rsidRDefault="00CF64AE" w:rsidP="000A1A83">
            <w:pPr>
              <w:jc w:val="both"/>
              <w:rPr>
                <w:sz w:val="22"/>
                <w:szCs w:val="22"/>
              </w:rPr>
            </w:pPr>
          </w:p>
          <w:p w:rsidR="00CF64AE" w:rsidRPr="00A65692" w:rsidRDefault="00CF64AE" w:rsidP="000A1A83">
            <w:pPr>
              <w:jc w:val="both"/>
              <w:rPr>
                <w:sz w:val="22"/>
                <w:szCs w:val="22"/>
                <w:lang w:val="en-US"/>
              </w:rPr>
            </w:pPr>
          </w:p>
          <w:p w:rsidR="00112B51" w:rsidRPr="00A65692" w:rsidRDefault="00112B51" w:rsidP="000A1A83">
            <w:pPr>
              <w:jc w:val="both"/>
              <w:rPr>
                <w:sz w:val="22"/>
                <w:szCs w:val="22"/>
                <w:lang w:val="en-US"/>
              </w:rPr>
            </w:pPr>
          </w:p>
          <w:p w:rsidR="00112B51" w:rsidRPr="00A65692" w:rsidRDefault="00112B51" w:rsidP="000A1A83">
            <w:pPr>
              <w:jc w:val="both"/>
              <w:rPr>
                <w:sz w:val="22"/>
                <w:szCs w:val="22"/>
                <w:lang w:val="en-US"/>
              </w:rPr>
            </w:pPr>
          </w:p>
          <w:p w:rsidR="00112B51" w:rsidRPr="00A65692" w:rsidRDefault="00112B51" w:rsidP="000A1A83">
            <w:pPr>
              <w:jc w:val="both"/>
              <w:rPr>
                <w:sz w:val="22"/>
                <w:szCs w:val="22"/>
                <w:lang w:val="en-US"/>
              </w:rPr>
            </w:pPr>
          </w:p>
          <w:p w:rsidR="00112B51" w:rsidRPr="00A65692" w:rsidRDefault="00112B51" w:rsidP="000A1A83">
            <w:pPr>
              <w:jc w:val="both"/>
              <w:rPr>
                <w:sz w:val="22"/>
                <w:szCs w:val="22"/>
                <w:lang w:val="en-US"/>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sz w:val="22"/>
                <w:szCs w:val="22"/>
              </w:rPr>
            </w:pPr>
          </w:p>
          <w:p w:rsidR="00CF64AE" w:rsidRPr="00A65692" w:rsidRDefault="00CF64AE" w:rsidP="000A1A83">
            <w:pPr>
              <w:jc w:val="both"/>
              <w:rPr>
                <w:iCs/>
                <w:sz w:val="22"/>
                <w:szCs w:val="22"/>
              </w:rPr>
            </w:pPr>
          </w:p>
        </w:tc>
      </w:tr>
      <w:tr w:rsidR="005F1F9E" w:rsidRPr="00A65692" w:rsidTr="00597963">
        <w:trPr>
          <w:trHeight w:hRule="exact" w:val="1535"/>
        </w:trPr>
        <w:tc>
          <w:tcPr>
            <w:tcW w:w="5102" w:type="dxa"/>
            <w:tcBorders>
              <w:top w:val="single" w:sz="2" w:space="0" w:color="auto"/>
              <w:left w:val="single" w:sz="2" w:space="0" w:color="auto"/>
              <w:bottom w:val="single" w:sz="2" w:space="0" w:color="auto"/>
              <w:right w:val="single" w:sz="2" w:space="0" w:color="auto"/>
            </w:tcBorders>
            <w:vAlign w:val="center"/>
          </w:tcPr>
          <w:p w:rsidR="00242BF2" w:rsidRPr="00A65692" w:rsidRDefault="00242BF2" w:rsidP="00242BF2">
            <w:pPr>
              <w:rPr>
                <w:sz w:val="22"/>
                <w:szCs w:val="22"/>
              </w:rPr>
            </w:pPr>
            <w:r w:rsidRPr="00A65692">
              <w:rPr>
                <w:sz w:val="22"/>
                <w:szCs w:val="22"/>
              </w:rPr>
              <w:t>Посебна сметка на која се евидентираат уплатите и исплатите врз основа на кредитот, доколку е применливо</w:t>
            </w:r>
          </w:p>
          <w:p w:rsidR="005F1F9E" w:rsidRPr="00A65692" w:rsidRDefault="005F1F9E" w:rsidP="00F76E07">
            <w:pPr>
              <w:ind w:left="62"/>
              <w:rPr>
                <w:sz w:val="22"/>
                <w:szCs w:val="22"/>
                <w:lang w:val="en-US"/>
              </w:rPr>
            </w:pPr>
          </w:p>
        </w:tc>
        <w:tc>
          <w:tcPr>
            <w:tcW w:w="4522" w:type="dxa"/>
            <w:tcBorders>
              <w:top w:val="single" w:sz="2" w:space="0" w:color="auto"/>
              <w:left w:val="single" w:sz="2" w:space="0" w:color="auto"/>
              <w:bottom w:val="single" w:sz="2" w:space="0" w:color="auto"/>
              <w:right w:val="single" w:sz="2" w:space="0" w:color="auto"/>
            </w:tcBorders>
            <w:vAlign w:val="center"/>
          </w:tcPr>
          <w:p w:rsidR="005F1F9E" w:rsidRPr="00A65692" w:rsidRDefault="00832964" w:rsidP="005B76C0">
            <w:pPr>
              <w:jc w:val="both"/>
              <w:rPr>
                <w:sz w:val="22"/>
                <w:szCs w:val="22"/>
                <w:lang w:val="en-US"/>
              </w:rPr>
            </w:pPr>
            <w:r w:rsidRPr="00A65692">
              <w:rPr>
                <w:sz w:val="22"/>
                <w:szCs w:val="22"/>
              </w:rPr>
              <w:t>Д</w:t>
            </w:r>
            <w:proofErr w:type="spellStart"/>
            <w:r w:rsidR="000A6DFE" w:rsidRPr="00A65692">
              <w:rPr>
                <w:sz w:val="22"/>
                <w:szCs w:val="22"/>
                <w:lang w:val="en-US"/>
              </w:rPr>
              <w:t>о</w:t>
            </w:r>
            <w:r w:rsidR="0015551F">
              <w:rPr>
                <w:sz w:val="22"/>
                <w:szCs w:val="22"/>
                <w:lang w:val="en-US"/>
              </w:rPr>
              <w:t>колку</w:t>
            </w:r>
            <w:proofErr w:type="spellEnd"/>
            <w:r w:rsidR="0015551F">
              <w:rPr>
                <w:sz w:val="22"/>
                <w:szCs w:val="22"/>
                <w:lang w:val="en-US"/>
              </w:rPr>
              <w:t xml:space="preserve"> </w:t>
            </w:r>
            <w:proofErr w:type="spellStart"/>
            <w:r w:rsidR="0015551F">
              <w:rPr>
                <w:sz w:val="22"/>
                <w:szCs w:val="22"/>
                <w:lang w:val="en-US"/>
              </w:rPr>
              <w:t>имате</w:t>
            </w:r>
            <w:proofErr w:type="spellEnd"/>
            <w:r w:rsidR="0015551F">
              <w:rPr>
                <w:sz w:val="22"/>
                <w:szCs w:val="22"/>
                <w:lang w:val="en-US"/>
              </w:rPr>
              <w:t xml:space="preserve"> </w:t>
            </w:r>
            <w:proofErr w:type="spellStart"/>
            <w:r w:rsidR="0015551F">
              <w:rPr>
                <w:sz w:val="22"/>
                <w:szCs w:val="22"/>
                <w:lang w:val="en-US"/>
              </w:rPr>
              <w:t>активна</w:t>
            </w:r>
            <w:proofErr w:type="spellEnd"/>
            <w:r w:rsidR="0015551F">
              <w:rPr>
                <w:sz w:val="22"/>
                <w:szCs w:val="22"/>
                <w:lang w:val="en-US"/>
              </w:rPr>
              <w:t xml:space="preserve"> </w:t>
            </w:r>
            <w:proofErr w:type="spellStart"/>
            <w:r w:rsidR="0015551F">
              <w:rPr>
                <w:sz w:val="22"/>
                <w:szCs w:val="22"/>
                <w:lang w:val="en-US"/>
              </w:rPr>
              <w:t>платежна</w:t>
            </w:r>
            <w:proofErr w:type="spellEnd"/>
            <w:r w:rsidR="000A6DFE" w:rsidRPr="00A65692">
              <w:rPr>
                <w:sz w:val="22"/>
                <w:szCs w:val="22"/>
                <w:lang w:val="en-US"/>
              </w:rPr>
              <w:t xml:space="preserve"> </w:t>
            </w:r>
            <w:proofErr w:type="spellStart"/>
            <w:r w:rsidR="000A6DFE" w:rsidRPr="00A65692">
              <w:rPr>
                <w:sz w:val="22"/>
                <w:szCs w:val="22"/>
                <w:lang w:val="en-US"/>
              </w:rPr>
              <w:t>сметка</w:t>
            </w:r>
            <w:proofErr w:type="spellEnd"/>
            <w:r w:rsidR="000A6DFE" w:rsidRPr="00A65692">
              <w:rPr>
                <w:sz w:val="22"/>
                <w:szCs w:val="22"/>
                <w:lang w:val="en-US"/>
              </w:rPr>
              <w:t xml:space="preserve"> </w:t>
            </w:r>
            <w:proofErr w:type="spellStart"/>
            <w:r w:rsidR="000A6DFE" w:rsidRPr="00A65692">
              <w:rPr>
                <w:sz w:val="22"/>
                <w:szCs w:val="22"/>
                <w:lang w:val="en-US"/>
              </w:rPr>
              <w:t>во</w:t>
            </w:r>
            <w:proofErr w:type="spellEnd"/>
            <w:r w:rsidR="000A6DFE" w:rsidRPr="00A65692">
              <w:rPr>
                <w:sz w:val="22"/>
                <w:szCs w:val="22"/>
                <w:lang w:val="en-US"/>
              </w:rPr>
              <w:t xml:space="preserve"> </w:t>
            </w:r>
            <w:proofErr w:type="spellStart"/>
            <w:r w:rsidR="000A6DFE" w:rsidRPr="00A65692">
              <w:rPr>
                <w:sz w:val="22"/>
                <w:szCs w:val="22"/>
                <w:lang w:val="en-US"/>
              </w:rPr>
              <w:t>Банката</w:t>
            </w:r>
            <w:proofErr w:type="spellEnd"/>
            <w:r w:rsidR="000A6DFE" w:rsidRPr="00A65692">
              <w:rPr>
                <w:sz w:val="22"/>
                <w:szCs w:val="22"/>
                <w:lang w:val="en-US"/>
              </w:rPr>
              <w:t xml:space="preserve">,  </w:t>
            </w:r>
            <w:proofErr w:type="spellStart"/>
            <w:r w:rsidR="000A6DFE" w:rsidRPr="00A65692">
              <w:rPr>
                <w:sz w:val="22"/>
                <w:szCs w:val="22"/>
                <w:lang w:val="en-US"/>
              </w:rPr>
              <w:t>истата</w:t>
            </w:r>
            <w:proofErr w:type="spellEnd"/>
            <w:r w:rsidR="000A6DFE" w:rsidRPr="00A65692">
              <w:rPr>
                <w:sz w:val="22"/>
                <w:szCs w:val="22"/>
                <w:lang w:val="en-US"/>
              </w:rPr>
              <w:t xml:space="preserve"> </w:t>
            </w:r>
            <w:proofErr w:type="spellStart"/>
            <w:r w:rsidR="000A6DFE" w:rsidRPr="00A65692">
              <w:rPr>
                <w:sz w:val="22"/>
                <w:szCs w:val="22"/>
                <w:lang w:val="en-US"/>
              </w:rPr>
              <w:t>се</w:t>
            </w:r>
            <w:proofErr w:type="spellEnd"/>
            <w:r w:rsidR="000A6DFE" w:rsidRPr="00A65692">
              <w:rPr>
                <w:sz w:val="22"/>
                <w:szCs w:val="22"/>
                <w:lang w:val="en-US"/>
              </w:rPr>
              <w:t xml:space="preserve"> </w:t>
            </w:r>
            <w:proofErr w:type="spellStart"/>
            <w:r w:rsidR="000A6DFE" w:rsidRPr="00A65692">
              <w:rPr>
                <w:sz w:val="22"/>
                <w:szCs w:val="22"/>
                <w:lang w:val="en-US"/>
              </w:rPr>
              <w:t>користи</w:t>
            </w:r>
            <w:proofErr w:type="spellEnd"/>
            <w:r w:rsidR="000A6DFE" w:rsidRPr="00A65692">
              <w:rPr>
                <w:sz w:val="22"/>
                <w:szCs w:val="22"/>
                <w:lang w:val="en-US"/>
              </w:rPr>
              <w:t xml:space="preserve"> </w:t>
            </w:r>
            <w:proofErr w:type="spellStart"/>
            <w:r w:rsidR="000A6DFE" w:rsidRPr="00A65692">
              <w:rPr>
                <w:sz w:val="22"/>
                <w:szCs w:val="22"/>
                <w:lang w:val="en-US"/>
              </w:rPr>
              <w:t>за</w:t>
            </w:r>
            <w:proofErr w:type="spellEnd"/>
            <w:r w:rsidR="000A6DFE" w:rsidRPr="00A65692">
              <w:rPr>
                <w:sz w:val="22"/>
                <w:szCs w:val="22"/>
              </w:rPr>
              <w:t xml:space="preserve"> </w:t>
            </w:r>
            <w:proofErr w:type="spellStart"/>
            <w:r w:rsidR="000A6DFE" w:rsidRPr="00A65692">
              <w:rPr>
                <w:sz w:val="22"/>
                <w:szCs w:val="22"/>
                <w:lang w:val="en-US"/>
              </w:rPr>
              <w:t>евидентирање</w:t>
            </w:r>
            <w:proofErr w:type="spellEnd"/>
            <w:r w:rsidR="000A6DFE" w:rsidRPr="00A65692">
              <w:rPr>
                <w:sz w:val="22"/>
                <w:szCs w:val="22"/>
                <w:lang w:val="en-US"/>
              </w:rPr>
              <w:t xml:space="preserve"> </w:t>
            </w:r>
            <w:proofErr w:type="spellStart"/>
            <w:r w:rsidR="000A6DFE" w:rsidRPr="00A65692">
              <w:rPr>
                <w:sz w:val="22"/>
                <w:szCs w:val="22"/>
                <w:lang w:val="en-US"/>
              </w:rPr>
              <w:t>на</w:t>
            </w:r>
            <w:proofErr w:type="spellEnd"/>
            <w:r w:rsidR="000A6DFE" w:rsidRPr="00A65692">
              <w:rPr>
                <w:sz w:val="22"/>
                <w:szCs w:val="22"/>
                <w:lang w:val="en-US"/>
              </w:rPr>
              <w:t xml:space="preserve"> </w:t>
            </w:r>
            <w:proofErr w:type="spellStart"/>
            <w:r w:rsidR="000A6DFE" w:rsidRPr="00A65692">
              <w:rPr>
                <w:sz w:val="22"/>
                <w:szCs w:val="22"/>
                <w:lang w:val="en-US"/>
              </w:rPr>
              <w:t>уплатите</w:t>
            </w:r>
            <w:proofErr w:type="spellEnd"/>
            <w:r w:rsidR="000A6DFE" w:rsidRPr="00A65692">
              <w:rPr>
                <w:sz w:val="22"/>
                <w:szCs w:val="22"/>
                <w:lang w:val="en-US"/>
              </w:rPr>
              <w:t xml:space="preserve"> и </w:t>
            </w:r>
            <w:proofErr w:type="spellStart"/>
            <w:r w:rsidR="000A6DFE" w:rsidRPr="00A65692">
              <w:rPr>
                <w:sz w:val="22"/>
                <w:szCs w:val="22"/>
                <w:lang w:val="en-US"/>
              </w:rPr>
              <w:t>исплатите</w:t>
            </w:r>
            <w:proofErr w:type="spellEnd"/>
            <w:r w:rsidR="000A6DFE" w:rsidRPr="00A65692">
              <w:rPr>
                <w:sz w:val="22"/>
                <w:szCs w:val="22"/>
                <w:lang w:val="en-US"/>
              </w:rPr>
              <w:t xml:space="preserve"> </w:t>
            </w:r>
            <w:proofErr w:type="spellStart"/>
            <w:r w:rsidR="000A6DFE" w:rsidRPr="00A65692">
              <w:rPr>
                <w:sz w:val="22"/>
                <w:szCs w:val="22"/>
                <w:lang w:val="en-US"/>
              </w:rPr>
              <w:t>врз</w:t>
            </w:r>
            <w:proofErr w:type="spellEnd"/>
            <w:r w:rsidR="000A6DFE" w:rsidRPr="00A65692">
              <w:rPr>
                <w:sz w:val="22"/>
                <w:szCs w:val="22"/>
                <w:lang w:val="en-US"/>
              </w:rPr>
              <w:t xml:space="preserve"> </w:t>
            </w:r>
            <w:proofErr w:type="spellStart"/>
            <w:r w:rsidR="000A6DFE" w:rsidRPr="00A65692">
              <w:rPr>
                <w:sz w:val="22"/>
                <w:szCs w:val="22"/>
                <w:lang w:val="en-US"/>
              </w:rPr>
              <w:t>основа</w:t>
            </w:r>
            <w:proofErr w:type="spellEnd"/>
            <w:r w:rsidR="000A6DFE" w:rsidRPr="00A65692">
              <w:rPr>
                <w:sz w:val="22"/>
                <w:szCs w:val="22"/>
                <w:lang w:val="en-US"/>
              </w:rPr>
              <w:t xml:space="preserve"> </w:t>
            </w:r>
            <w:proofErr w:type="spellStart"/>
            <w:r w:rsidR="000A6DFE" w:rsidRPr="00A65692">
              <w:rPr>
                <w:sz w:val="22"/>
                <w:szCs w:val="22"/>
                <w:lang w:val="en-US"/>
              </w:rPr>
              <w:t>на</w:t>
            </w:r>
            <w:proofErr w:type="spellEnd"/>
            <w:r w:rsidR="000A6DFE" w:rsidRPr="00A65692">
              <w:rPr>
                <w:sz w:val="22"/>
                <w:szCs w:val="22"/>
                <w:lang w:val="en-US"/>
              </w:rPr>
              <w:t xml:space="preserve"> </w:t>
            </w:r>
            <w:proofErr w:type="spellStart"/>
            <w:r w:rsidR="000A6DFE" w:rsidRPr="00A65692">
              <w:rPr>
                <w:sz w:val="22"/>
                <w:szCs w:val="22"/>
                <w:lang w:val="en-US"/>
              </w:rPr>
              <w:t>обврските</w:t>
            </w:r>
            <w:proofErr w:type="spellEnd"/>
            <w:r w:rsidR="000A6DFE" w:rsidRPr="00A65692">
              <w:rPr>
                <w:sz w:val="22"/>
                <w:szCs w:val="22"/>
                <w:lang w:val="en-US"/>
              </w:rPr>
              <w:t xml:space="preserve"> </w:t>
            </w:r>
            <w:proofErr w:type="spellStart"/>
            <w:r w:rsidR="000A6DFE" w:rsidRPr="00A65692">
              <w:rPr>
                <w:sz w:val="22"/>
                <w:szCs w:val="22"/>
                <w:lang w:val="en-US"/>
              </w:rPr>
              <w:t>по</w:t>
            </w:r>
            <w:proofErr w:type="spellEnd"/>
            <w:r w:rsidR="000A6DFE" w:rsidRPr="00A65692">
              <w:rPr>
                <w:sz w:val="22"/>
                <w:szCs w:val="22"/>
                <w:lang w:val="en-US"/>
              </w:rPr>
              <w:t xml:space="preserve"> </w:t>
            </w:r>
            <w:proofErr w:type="spellStart"/>
            <w:r w:rsidR="000A6DFE" w:rsidRPr="00A65692">
              <w:rPr>
                <w:sz w:val="22"/>
                <w:szCs w:val="22"/>
                <w:lang w:val="en-US"/>
              </w:rPr>
              <w:t>кредитот</w:t>
            </w:r>
            <w:proofErr w:type="spellEnd"/>
            <w:r w:rsidR="000A6DFE" w:rsidRPr="00A65692">
              <w:rPr>
                <w:sz w:val="22"/>
                <w:szCs w:val="22"/>
                <w:lang w:val="en-US"/>
              </w:rPr>
              <w:t xml:space="preserve">, </w:t>
            </w:r>
            <w:proofErr w:type="spellStart"/>
            <w:r w:rsidR="000A6DFE" w:rsidRPr="00A65692">
              <w:rPr>
                <w:sz w:val="22"/>
                <w:szCs w:val="22"/>
                <w:lang w:val="en-US"/>
              </w:rPr>
              <w:t>односно</w:t>
            </w:r>
            <w:proofErr w:type="spellEnd"/>
            <w:r w:rsidR="000A6DFE" w:rsidRPr="00A65692">
              <w:rPr>
                <w:sz w:val="22"/>
                <w:szCs w:val="22"/>
                <w:lang w:val="en-US"/>
              </w:rPr>
              <w:t xml:space="preserve"> </w:t>
            </w:r>
            <w:proofErr w:type="spellStart"/>
            <w:r w:rsidR="000A6DFE" w:rsidRPr="00A65692">
              <w:rPr>
                <w:sz w:val="22"/>
                <w:szCs w:val="22"/>
                <w:lang w:val="en-US"/>
              </w:rPr>
              <w:t>не</w:t>
            </w:r>
            <w:proofErr w:type="spellEnd"/>
            <w:r w:rsidR="000A6DFE" w:rsidRPr="00A65692">
              <w:rPr>
                <w:sz w:val="22"/>
                <w:szCs w:val="22"/>
                <w:lang w:val="en-US"/>
              </w:rPr>
              <w:t xml:space="preserve"> е </w:t>
            </w:r>
            <w:proofErr w:type="spellStart"/>
            <w:r w:rsidR="000A6DFE" w:rsidRPr="00A65692">
              <w:rPr>
                <w:sz w:val="22"/>
                <w:szCs w:val="22"/>
                <w:lang w:val="en-US"/>
              </w:rPr>
              <w:t>задолжително</w:t>
            </w:r>
            <w:proofErr w:type="spellEnd"/>
            <w:r w:rsidR="000A6DFE" w:rsidRPr="00A65692">
              <w:rPr>
                <w:sz w:val="22"/>
                <w:szCs w:val="22"/>
                <w:lang w:val="en-US"/>
              </w:rPr>
              <w:t xml:space="preserve"> </w:t>
            </w:r>
            <w:proofErr w:type="spellStart"/>
            <w:r w:rsidR="000A6DFE" w:rsidRPr="00A65692">
              <w:rPr>
                <w:sz w:val="22"/>
                <w:szCs w:val="22"/>
                <w:lang w:val="en-US"/>
              </w:rPr>
              <w:t>да</w:t>
            </w:r>
            <w:proofErr w:type="spellEnd"/>
            <w:r w:rsidR="000A6DFE" w:rsidRPr="00A65692">
              <w:rPr>
                <w:sz w:val="22"/>
                <w:szCs w:val="22"/>
                <w:lang w:val="en-US"/>
              </w:rPr>
              <w:t xml:space="preserve"> </w:t>
            </w:r>
            <w:proofErr w:type="spellStart"/>
            <w:r w:rsidR="000A6DFE" w:rsidRPr="00A65692">
              <w:rPr>
                <w:sz w:val="22"/>
                <w:szCs w:val="22"/>
                <w:lang w:val="en-US"/>
              </w:rPr>
              <w:t>се</w:t>
            </w:r>
            <w:proofErr w:type="spellEnd"/>
            <w:r w:rsidR="000A6DFE" w:rsidRPr="00A65692">
              <w:rPr>
                <w:sz w:val="22"/>
                <w:szCs w:val="22"/>
                <w:lang w:val="en-US"/>
              </w:rPr>
              <w:t xml:space="preserve"> </w:t>
            </w:r>
            <w:proofErr w:type="spellStart"/>
            <w:r w:rsidR="000A6DFE" w:rsidRPr="00A65692">
              <w:rPr>
                <w:sz w:val="22"/>
                <w:szCs w:val="22"/>
                <w:lang w:val="en-US"/>
              </w:rPr>
              <w:t>отвори</w:t>
            </w:r>
            <w:proofErr w:type="spellEnd"/>
            <w:r w:rsidR="000A6DFE" w:rsidRPr="00A65692">
              <w:rPr>
                <w:sz w:val="22"/>
                <w:szCs w:val="22"/>
                <w:lang w:val="en-US"/>
              </w:rPr>
              <w:t xml:space="preserve"> </w:t>
            </w:r>
            <w:proofErr w:type="spellStart"/>
            <w:r w:rsidR="000A6DFE" w:rsidRPr="00A65692">
              <w:rPr>
                <w:sz w:val="22"/>
                <w:szCs w:val="22"/>
                <w:lang w:val="en-US"/>
              </w:rPr>
              <w:t>посебна</w:t>
            </w:r>
            <w:proofErr w:type="spellEnd"/>
            <w:r w:rsidR="009A5B53">
              <w:rPr>
                <w:sz w:val="22"/>
                <w:szCs w:val="22"/>
              </w:rPr>
              <w:t xml:space="preserve"> </w:t>
            </w:r>
            <w:r w:rsidR="009A5B53" w:rsidRPr="005A3724">
              <w:rPr>
                <w:sz w:val="22"/>
                <w:szCs w:val="22"/>
              </w:rPr>
              <w:t>платежна</w:t>
            </w:r>
            <w:r w:rsidR="000A6DFE" w:rsidRPr="005A3724">
              <w:rPr>
                <w:sz w:val="22"/>
                <w:szCs w:val="22"/>
                <w:lang w:val="en-US"/>
              </w:rPr>
              <w:t xml:space="preserve"> </w:t>
            </w:r>
            <w:proofErr w:type="spellStart"/>
            <w:r w:rsidR="000A6DFE" w:rsidRPr="005A3724">
              <w:rPr>
                <w:sz w:val="22"/>
                <w:szCs w:val="22"/>
                <w:lang w:val="en-US"/>
              </w:rPr>
              <w:t>сметка</w:t>
            </w:r>
            <w:proofErr w:type="spellEnd"/>
            <w:r w:rsidR="000A6DFE" w:rsidRPr="005A3724">
              <w:rPr>
                <w:sz w:val="22"/>
                <w:szCs w:val="22"/>
                <w:lang w:val="en-US"/>
              </w:rPr>
              <w:t xml:space="preserve"> </w:t>
            </w:r>
            <w:proofErr w:type="spellStart"/>
            <w:r w:rsidR="000A6DFE" w:rsidRPr="005A3724">
              <w:rPr>
                <w:sz w:val="22"/>
                <w:szCs w:val="22"/>
                <w:lang w:val="en-US"/>
              </w:rPr>
              <w:t>за</w:t>
            </w:r>
            <w:proofErr w:type="spellEnd"/>
            <w:r w:rsidR="000A6DFE" w:rsidRPr="005A3724">
              <w:rPr>
                <w:sz w:val="22"/>
                <w:szCs w:val="22"/>
                <w:lang w:val="en-US"/>
              </w:rPr>
              <w:t xml:space="preserve"> </w:t>
            </w:r>
            <w:proofErr w:type="spellStart"/>
            <w:r w:rsidR="000A6DFE" w:rsidRPr="005A3724">
              <w:rPr>
                <w:sz w:val="22"/>
                <w:szCs w:val="22"/>
                <w:lang w:val="en-US"/>
              </w:rPr>
              <w:t>таа</w:t>
            </w:r>
            <w:proofErr w:type="spellEnd"/>
            <w:r w:rsidR="000A6DFE" w:rsidRPr="00A65692">
              <w:rPr>
                <w:sz w:val="22"/>
                <w:szCs w:val="22"/>
                <w:lang w:val="en-US"/>
              </w:rPr>
              <w:t xml:space="preserve"> </w:t>
            </w:r>
            <w:proofErr w:type="spellStart"/>
            <w:r w:rsidR="000A6DFE" w:rsidRPr="00A65692">
              <w:rPr>
                <w:sz w:val="22"/>
                <w:szCs w:val="22"/>
                <w:lang w:val="en-US"/>
              </w:rPr>
              <w:t>намена</w:t>
            </w:r>
            <w:proofErr w:type="spellEnd"/>
          </w:p>
        </w:tc>
      </w:tr>
    </w:tbl>
    <w:p w:rsidR="00610FFF" w:rsidRPr="00A65692" w:rsidRDefault="00610FFF">
      <w:pPr>
        <w:rPr>
          <w:sz w:val="22"/>
          <w:szCs w:val="22"/>
        </w:rPr>
      </w:pPr>
    </w:p>
    <w:p w:rsidR="00C46F6A" w:rsidRPr="00A65692" w:rsidRDefault="00A927A8" w:rsidP="00B80629">
      <w:pPr>
        <w:numPr>
          <w:ilvl w:val="0"/>
          <w:numId w:val="7"/>
        </w:numPr>
        <w:ind w:left="432" w:hanging="148"/>
        <w:rPr>
          <w:b/>
          <w:sz w:val="22"/>
          <w:szCs w:val="22"/>
        </w:rPr>
      </w:pPr>
      <w:r w:rsidRPr="00A65692">
        <w:rPr>
          <w:b/>
          <w:sz w:val="22"/>
          <w:szCs w:val="22"/>
        </w:rPr>
        <w:t>Податоци за трошоците за кредитот</w:t>
      </w:r>
    </w:p>
    <w:tbl>
      <w:tblPr>
        <w:tblW w:w="9624" w:type="dxa"/>
        <w:tblInd w:w="4" w:type="dxa"/>
        <w:tblLayout w:type="fixed"/>
        <w:tblCellMar>
          <w:left w:w="0" w:type="dxa"/>
          <w:right w:w="0" w:type="dxa"/>
        </w:tblCellMar>
        <w:tblLook w:val="0000" w:firstRow="0" w:lastRow="0" w:firstColumn="0" w:lastColumn="0" w:noHBand="0" w:noVBand="0"/>
      </w:tblPr>
      <w:tblGrid>
        <w:gridCol w:w="5227"/>
        <w:gridCol w:w="4397"/>
      </w:tblGrid>
      <w:tr w:rsidR="00FA6B77" w:rsidRPr="00A65692" w:rsidTr="00FA6B77">
        <w:trPr>
          <w:trHeight w:hRule="exact" w:val="279"/>
        </w:trPr>
        <w:tc>
          <w:tcPr>
            <w:tcW w:w="5227" w:type="dxa"/>
            <w:tcBorders>
              <w:top w:val="single" w:sz="2" w:space="0" w:color="auto"/>
              <w:left w:val="single" w:sz="2" w:space="0" w:color="auto"/>
              <w:bottom w:val="single" w:sz="2" w:space="0" w:color="auto"/>
              <w:right w:val="single" w:sz="2" w:space="0" w:color="auto"/>
            </w:tcBorders>
            <w:vAlign w:val="center"/>
          </w:tcPr>
          <w:p w:rsidR="00FA6B77" w:rsidRPr="00A65692" w:rsidRDefault="00FA6B77" w:rsidP="003E38E1">
            <w:pPr>
              <w:ind w:right="2118"/>
              <w:jc w:val="right"/>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1</w:t>
            </w:r>
          </w:p>
        </w:tc>
        <w:tc>
          <w:tcPr>
            <w:tcW w:w="4397" w:type="dxa"/>
            <w:tcBorders>
              <w:top w:val="single" w:sz="2" w:space="0" w:color="auto"/>
              <w:left w:val="single" w:sz="2" w:space="0" w:color="auto"/>
              <w:bottom w:val="single" w:sz="2" w:space="0" w:color="auto"/>
              <w:right w:val="single" w:sz="2" w:space="0" w:color="auto"/>
            </w:tcBorders>
            <w:vAlign w:val="center"/>
          </w:tcPr>
          <w:p w:rsidR="00FA6B77" w:rsidRPr="00A65692" w:rsidRDefault="00FA6B77" w:rsidP="003E38E1">
            <w:pPr>
              <w:ind w:left="1648"/>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2</w:t>
            </w:r>
          </w:p>
        </w:tc>
      </w:tr>
      <w:tr w:rsidR="00CE2A7C" w:rsidRPr="00A65692" w:rsidTr="00FA6B77">
        <w:trPr>
          <w:trHeight w:hRule="exact" w:val="279"/>
        </w:trPr>
        <w:tc>
          <w:tcPr>
            <w:tcW w:w="5227" w:type="dxa"/>
            <w:tcBorders>
              <w:top w:val="single" w:sz="2" w:space="0" w:color="auto"/>
              <w:left w:val="single" w:sz="2" w:space="0" w:color="auto"/>
              <w:bottom w:val="single" w:sz="2" w:space="0" w:color="auto"/>
              <w:right w:val="single" w:sz="2" w:space="0" w:color="auto"/>
            </w:tcBorders>
            <w:vAlign w:val="center"/>
          </w:tcPr>
          <w:p w:rsidR="00CE2A7C" w:rsidRPr="00A65692" w:rsidRDefault="00CE2A7C" w:rsidP="00FA6B77">
            <w:pPr>
              <w:ind w:right="2118"/>
              <w:rPr>
                <w:sz w:val="22"/>
                <w:szCs w:val="22"/>
                <w:lang w:val="en-US"/>
              </w:rPr>
            </w:pPr>
            <w:proofErr w:type="spellStart"/>
            <w:r w:rsidRPr="00A65692">
              <w:rPr>
                <w:sz w:val="22"/>
                <w:szCs w:val="22"/>
                <w:lang w:val="en-US"/>
              </w:rPr>
              <w:t>Вид</w:t>
            </w:r>
            <w:proofErr w:type="spellEnd"/>
            <w:r w:rsidRPr="00A65692">
              <w:rPr>
                <w:sz w:val="22"/>
                <w:szCs w:val="22"/>
                <w:lang w:val="en-US"/>
              </w:rPr>
              <w:t xml:space="preserve"> </w:t>
            </w:r>
            <w:proofErr w:type="spellStart"/>
            <w:r w:rsidRPr="00A65692">
              <w:rPr>
                <w:sz w:val="22"/>
                <w:szCs w:val="22"/>
                <w:lang w:val="en-US"/>
              </w:rPr>
              <w:t>на</w:t>
            </w:r>
            <w:proofErr w:type="spellEnd"/>
            <w:r w:rsidRPr="00A65692">
              <w:rPr>
                <w:sz w:val="22"/>
                <w:szCs w:val="22"/>
                <w:lang w:val="en-US"/>
              </w:rPr>
              <w:t xml:space="preserve"> </w:t>
            </w:r>
            <w:proofErr w:type="spellStart"/>
            <w:r w:rsidRPr="00A65692">
              <w:rPr>
                <w:sz w:val="22"/>
                <w:szCs w:val="22"/>
                <w:lang w:val="en-US"/>
              </w:rPr>
              <w:t>каматната</w:t>
            </w:r>
            <w:proofErr w:type="spellEnd"/>
            <w:r w:rsidRPr="00A65692">
              <w:rPr>
                <w:sz w:val="22"/>
                <w:szCs w:val="22"/>
                <w:lang w:val="en-US"/>
              </w:rPr>
              <w:t xml:space="preserve"> </w:t>
            </w:r>
            <w:proofErr w:type="spellStart"/>
            <w:r w:rsidRPr="00A65692">
              <w:rPr>
                <w:sz w:val="22"/>
                <w:szCs w:val="22"/>
                <w:lang w:val="en-US"/>
              </w:rPr>
              <w:t>стапка</w:t>
            </w:r>
            <w:proofErr w:type="spellEnd"/>
          </w:p>
        </w:tc>
        <w:tc>
          <w:tcPr>
            <w:tcW w:w="4397" w:type="dxa"/>
            <w:tcBorders>
              <w:top w:val="single" w:sz="2" w:space="0" w:color="auto"/>
              <w:left w:val="single" w:sz="2" w:space="0" w:color="auto"/>
              <w:bottom w:val="single" w:sz="2" w:space="0" w:color="auto"/>
              <w:right w:val="single" w:sz="2" w:space="0" w:color="auto"/>
            </w:tcBorders>
            <w:vAlign w:val="center"/>
          </w:tcPr>
          <w:p w:rsidR="00CE2A7C" w:rsidRPr="00A65692" w:rsidRDefault="00CE2A7C" w:rsidP="00F76E07">
            <w:pPr>
              <w:rPr>
                <w:sz w:val="22"/>
                <w:szCs w:val="22"/>
              </w:rPr>
            </w:pPr>
            <w:r w:rsidRPr="00A65692">
              <w:rPr>
                <w:sz w:val="22"/>
                <w:szCs w:val="22"/>
              </w:rPr>
              <w:t>Променлива</w:t>
            </w:r>
          </w:p>
        </w:tc>
      </w:tr>
      <w:tr w:rsidR="00CE2A7C" w:rsidRPr="00A65692" w:rsidTr="00242BF2">
        <w:trPr>
          <w:trHeight w:hRule="exact" w:val="4643"/>
        </w:trPr>
        <w:tc>
          <w:tcPr>
            <w:tcW w:w="5227" w:type="dxa"/>
            <w:tcBorders>
              <w:top w:val="single" w:sz="2" w:space="0" w:color="auto"/>
              <w:left w:val="single" w:sz="2" w:space="0" w:color="auto"/>
              <w:bottom w:val="single" w:sz="2" w:space="0" w:color="auto"/>
              <w:right w:val="single" w:sz="2" w:space="0" w:color="auto"/>
            </w:tcBorders>
          </w:tcPr>
          <w:p w:rsidR="00242BF2" w:rsidRPr="00A65692" w:rsidRDefault="00242BF2" w:rsidP="00242BF2">
            <w:pPr>
              <w:rPr>
                <w:sz w:val="22"/>
                <w:szCs w:val="22"/>
              </w:rPr>
            </w:pPr>
            <w:r w:rsidRPr="00A65692">
              <w:rPr>
                <w:sz w:val="22"/>
                <w:szCs w:val="22"/>
              </w:rPr>
              <w:t>Кредиторот</w:t>
            </w:r>
            <w:r w:rsidRPr="00A65692">
              <w:rPr>
                <w:iCs/>
                <w:sz w:val="22"/>
                <w:szCs w:val="22"/>
              </w:rPr>
              <w:t>/кредитниот посредник</w:t>
            </w:r>
            <w:r w:rsidRPr="00A65692">
              <w:rPr>
                <w:sz w:val="22"/>
                <w:szCs w:val="22"/>
              </w:rPr>
              <w:t xml:space="preserve">  е должен на потрошувачот да му го соопшти видот на каматната стапка и да му даде објаснување што означува таа каматна стапка, како и периодите, условите и постапка за промена на каматната стапка</w:t>
            </w:r>
          </w:p>
          <w:p w:rsidR="00242BF2" w:rsidRPr="00A65692" w:rsidRDefault="00242BF2" w:rsidP="00242BF2">
            <w:pPr>
              <w:rPr>
                <w:sz w:val="22"/>
                <w:szCs w:val="22"/>
              </w:rPr>
            </w:pPr>
            <w:r w:rsidRPr="00A65692">
              <w:rPr>
                <w:sz w:val="22"/>
                <w:szCs w:val="22"/>
              </w:rPr>
              <w:t>Кредиторот</w:t>
            </w:r>
            <w:r w:rsidRPr="00A65692">
              <w:rPr>
                <w:iCs/>
                <w:sz w:val="22"/>
                <w:szCs w:val="22"/>
              </w:rPr>
              <w:t>/кредитниот посредник</w:t>
            </w:r>
            <w:r w:rsidRPr="00A65692">
              <w:rPr>
                <w:sz w:val="22"/>
                <w:szCs w:val="22"/>
              </w:rPr>
              <w:t xml:space="preserve">  е должен да го информира потрошувачот дали за промената на каматната стапка е потребна согласност од потрошувачот </w:t>
            </w:r>
          </w:p>
          <w:p w:rsidR="00242BF2" w:rsidRPr="00A65692" w:rsidRDefault="00242BF2" w:rsidP="00242BF2">
            <w:pPr>
              <w:rPr>
                <w:sz w:val="22"/>
                <w:szCs w:val="22"/>
              </w:rPr>
            </w:pPr>
          </w:p>
          <w:p w:rsidR="00CE2A7C" w:rsidRPr="00A65692" w:rsidRDefault="00242BF2" w:rsidP="00242BF2">
            <w:pPr>
              <w:rPr>
                <w:sz w:val="22"/>
                <w:szCs w:val="22"/>
              </w:rPr>
            </w:pPr>
            <w:r w:rsidRPr="00A65692">
              <w:rPr>
                <w:sz w:val="22"/>
                <w:szCs w:val="22"/>
              </w:rPr>
              <w:t xml:space="preserve">Доколку во различни периоди се применуваат различни каматни стапки, сите наведени информации се наведуваат за секоја каматна стапка                                                                                                                                                                                                                                                                                                                                                                                                                               </w:t>
            </w:r>
          </w:p>
        </w:tc>
        <w:tc>
          <w:tcPr>
            <w:tcW w:w="4397" w:type="dxa"/>
            <w:tcBorders>
              <w:top w:val="single" w:sz="2" w:space="0" w:color="auto"/>
              <w:left w:val="single" w:sz="2" w:space="0" w:color="auto"/>
              <w:bottom w:val="single" w:sz="2" w:space="0" w:color="auto"/>
              <w:right w:val="single" w:sz="2" w:space="0" w:color="auto"/>
            </w:tcBorders>
            <w:vAlign w:val="center"/>
          </w:tcPr>
          <w:p w:rsidR="007164CB" w:rsidRPr="00A65692" w:rsidRDefault="007164CB" w:rsidP="007164CB">
            <w:pPr>
              <w:ind w:firstLine="360"/>
              <w:jc w:val="both"/>
              <w:rPr>
                <w:sz w:val="22"/>
                <w:szCs w:val="22"/>
              </w:rPr>
            </w:pPr>
            <w:r w:rsidRPr="00A65692">
              <w:rPr>
                <w:b/>
                <w:sz w:val="22"/>
                <w:szCs w:val="22"/>
              </w:rPr>
              <w:t>Базична каматна стапка</w:t>
            </w:r>
            <w:r w:rsidRPr="00A65692">
              <w:rPr>
                <w:sz w:val="22"/>
                <w:szCs w:val="22"/>
              </w:rPr>
              <w:t xml:space="preserve"> е референтната стапка на НБР</w:t>
            </w:r>
            <w:r w:rsidR="00F707ED">
              <w:rPr>
                <w:sz w:val="22"/>
                <w:szCs w:val="22"/>
              </w:rPr>
              <w:t>С</w:t>
            </w:r>
            <w:bookmarkStart w:id="0" w:name="_GoBack"/>
            <w:bookmarkEnd w:id="0"/>
            <w:r w:rsidRPr="00A65692">
              <w:rPr>
                <w:sz w:val="22"/>
                <w:szCs w:val="22"/>
              </w:rPr>
              <w:t xml:space="preserve">М за благајнички записи, чија промена се врши на полугодишна основа и се објавува на интернет страните: </w:t>
            </w:r>
            <w:r w:rsidR="009A5B53">
              <w:fldChar w:fldCharType="begin"/>
            </w:r>
            <w:r w:rsidR="009A5B53">
              <w:instrText xml:space="preserve"> HYPERLINK "http://www.nbrm.mk/" </w:instrText>
            </w:r>
            <w:r w:rsidR="009A5B53">
              <w:fldChar w:fldCharType="separate"/>
            </w:r>
            <w:r w:rsidRPr="00A65692">
              <w:rPr>
                <w:sz w:val="22"/>
                <w:szCs w:val="22"/>
              </w:rPr>
              <w:t>http://www.nbrm.mk/</w:t>
            </w:r>
            <w:r w:rsidR="009A5B53">
              <w:rPr>
                <w:sz w:val="22"/>
                <w:szCs w:val="22"/>
              </w:rPr>
              <w:fldChar w:fldCharType="end"/>
            </w:r>
            <w:r w:rsidRPr="00A65692">
              <w:rPr>
                <w:sz w:val="22"/>
                <w:szCs w:val="22"/>
              </w:rPr>
              <w:t xml:space="preserve"> и </w:t>
            </w:r>
            <w:r w:rsidR="009A5B53">
              <w:fldChar w:fldCharType="begin"/>
            </w:r>
            <w:r w:rsidR="009A5B53">
              <w:instrText xml:space="preserve"> HYPERLINK "http://www.unibank.mk" </w:instrText>
            </w:r>
            <w:r w:rsidR="009A5B53">
              <w:fldChar w:fldCharType="separate"/>
            </w:r>
            <w:r w:rsidRPr="00A65692">
              <w:rPr>
                <w:sz w:val="22"/>
                <w:szCs w:val="22"/>
              </w:rPr>
              <w:t>www.unibank.mk</w:t>
            </w:r>
            <w:r w:rsidR="009A5B53">
              <w:rPr>
                <w:sz w:val="22"/>
                <w:szCs w:val="22"/>
              </w:rPr>
              <w:fldChar w:fldCharType="end"/>
            </w:r>
            <w:r w:rsidRPr="00A65692">
              <w:rPr>
                <w:sz w:val="22"/>
                <w:szCs w:val="22"/>
              </w:rPr>
              <w:t>.</w:t>
            </w:r>
          </w:p>
          <w:p w:rsidR="007164CB" w:rsidRPr="00A65692" w:rsidRDefault="007164CB" w:rsidP="007164CB">
            <w:pPr>
              <w:ind w:firstLine="360"/>
              <w:jc w:val="both"/>
              <w:rPr>
                <w:sz w:val="22"/>
                <w:szCs w:val="22"/>
              </w:rPr>
            </w:pPr>
            <w:r w:rsidRPr="00A65692">
              <w:rPr>
                <w:b/>
                <w:sz w:val="22"/>
                <w:szCs w:val="22"/>
              </w:rPr>
              <w:t>Променлива каматна стапка</w:t>
            </w:r>
            <w:r w:rsidRPr="00A65692">
              <w:rPr>
                <w:sz w:val="22"/>
                <w:szCs w:val="22"/>
              </w:rPr>
              <w:t xml:space="preserve"> е стапка која се менува согласно позитивните прописи и актите за деловната политика на Банката, чија промена и висина не зависи од волјата на договорните страни, а зависи од  промената на базична каматна стапка.</w:t>
            </w:r>
          </w:p>
          <w:p w:rsidR="004C22D1" w:rsidRPr="00A65692" w:rsidRDefault="004C22D1" w:rsidP="004C22D1">
            <w:pPr>
              <w:pStyle w:val="ListParagraph"/>
              <w:jc w:val="both"/>
              <w:rPr>
                <w:sz w:val="12"/>
                <w:szCs w:val="18"/>
              </w:rPr>
            </w:pPr>
          </w:p>
          <w:p w:rsidR="00124399" w:rsidRPr="00A65692" w:rsidRDefault="00124399" w:rsidP="00242BF2">
            <w:pPr>
              <w:rPr>
                <w:color w:val="FF0000"/>
                <w:sz w:val="22"/>
                <w:szCs w:val="22"/>
              </w:rPr>
            </w:pPr>
          </w:p>
          <w:p w:rsidR="00CE2A7C" w:rsidRPr="00A65692" w:rsidRDefault="00242BF2" w:rsidP="00C87FA3">
            <w:pPr>
              <w:rPr>
                <w:sz w:val="22"/>
                <w:szCs w:val="22"/>
              </w:rPr>
            </w:pPr>
            <w:r w:rsidRPr="00A65692">
              <w:rPr>
                <w:sz w:val="22"/>
                <w:szCs w:val="22"/>
                <w:lang w:val="en-US"/>
              </w:rPr>
              <w:t>Н</w:t>
            </w:r>
            <w:r w:rsidRPr="00A65692">
              <w:rPr>
                <w:sz w:val="22"/>
                <w:szCs w:val="22"/>
              </w:rPr>
              <w:t>е е потребна, согласно договор</w:t>
            </w:r>
            <w:r w:rsidR="00451F81" w:rsidRPr="00A65692">
              <w:rPr>
                <w:sz w:val="22"/>
                <w:szCs w:val="22"/>
              </w:rPr>
              <w:t>.</w:t>
            </w:r>
          </w:p>
          <w:p w:rsidR="00124399" w:rsidRPr="00A65692" w:rsidRDefault="00124399" w:rsidP="00C87FA3">
            <w:pPr>
              <w:rPr>
                <w:sz w:val="22"/>
                <w:szCs w:val="22"/>
              </w:rPr>
            </w:pPr>
          </w:p>
          <w:p w:rsidR="00124399" w:rsidRPr="00A65692" w:rsidRDefault="00124399" w:rsidP="00C87FA3">
            <w:pPr>
              <w:rPr>
                <w:sz w:val="22"/>
                <w:szCs w:val="22"/>
              </w:rPr>
            </w:pPr>
          </w:p>
          <w:p w:rsidR="00124399" w:rsidRPr="00A65692" w:rsidRDefault="00124399" w:rsidP="00C87FA3">
            <w:pPr>
              <w:rPr>
                <w:sz w:val="22"/>
                <w:szCs w:val="22"/>
              </w:rPr>
            </w:pPr>
          </w:p>
          <w:p w:rsidR="00124399" w:rsidRPr="00A65692" w:rsidRDefault="00124399" w:rsidP="00C87FA3">
            <w:pPr>
              <w:rPr>
                <w:sz w:val="22"/>
                <w:szCs w:val="22"/>
              </w:rPr>
            </w:pPr>
          </w:p>
          <w:p w:rsidR="00124399" w:rsidRPr="00A65692" w:rsidRDefault="00124399" w:rsidP="00C87FA3">
            <w:pPr>
              <w:rPr>
                <w:sz w:val="22"/>
                <w:szCs w:val="22"/>
              </w:rPr>
            </w:pPr>
          </w:p>
          <w:p w:rsidR="00124399" w:rsidRPr="00A65692" w:rsidRDefault="00124399" w:rsidP="00C87FA3">
            <w:pPr>
              <w:rPr>
                <w:sz w:val="22"/>
                <w:szCs w:val="22"/>
              </w:rPr>
            </w:pPr>
          </w:p>
          <w:p w:rsidR="00124399" w:rsidRPr="00A65692" w:rsidRDefault="00124399" w:rsidP="00C87FA3">
            <w:pPr>
              <w:rPr>
                <w:sz w:val="22"/>
                <w:szCs w:val="22"/>
              </w:rPr>
            </w:pPr>
          </w:p>
          <w:p w:rsidR="00124399" w:rsidRPr="00A65692" w:rsidRDefault="00124399" w:rsidP="00C87FA3">
            <w:pPr>
              <w:rPr>
                <w:sz w:val="22"/>
                <w:szCs w:val="22"/>
              </w:rPr>
            </w:pPr>
          </w:p>
          <w:p w:rsidR="00124399" w:rsidRPr="00A65692" w:rsidRDefault="00124399" w:rsidP="00C87FA3">
            <w:pPr>
              <w:rPr>
                <w:sz w:val="22"/>
                <w:szCs w:val="22"/>
              </w:rPr>
            </w:pPr>
          </w:p>
        </w:tc>
      </w:tr>
      <w:tr w:rsidR="00CE2A7C" w:rsidRPr="00A65692" w:rsidTr="00BC36E4">
        <w:trPr>
          <w:trHeight w:hRule="exact" w:val="3470"/>
        </w:trPr>
        <w:tc>
          <w:tcPr>
            <w:tcW w:w="5227" w:type="dxa"/>
            <w:tcBorders>
              <w:top w:val="single" w:sz="2" w:space="0" w:color="auto"/>
              <w:left w:val="single" w:sz="2" w:space="0" w:color="auto"/>
              <w:bottom w:val="single" w:sz="2" w:space="0" w:color="auto"/>
              <w:right w:val="single" w:sz="2" w:space="0" w:color="auto"/>
            </w:tcBorders>
            <w:vAlign w:val="center"/>
          </w:tcPr>
          <w:p w:rsidR="00242BF2" w:rsidRPr="00A65692" w:rsidRDefault="00242BF2" w:rsidP="00242BF2">
            <w:pPr>
              <w:rPr>
                <w:sz w:val="22"/>
                <w:szCs w:val="22"/>
              </w:rPr>
            </w:pPr>
            <w:r w:rsidRPr="00A65692">
              <w:rPr>
                <w:sz w:val="22"/>
                <w:szCs w:val="22"/>
              </w:rPr>
              <w:lastRenderedPageBreak/>
              <w:t xml:space="preserve">Висина на договорената каматна стапка (изразена во % на годишна основа) </w:t>
            </w:r>
          </w:p>
          <w:p w:rsidR="00242BF2" w:rsidRPr="00A65692" w:rsidRDefault="00242BF2" w:rsidP="00242BF2">
            <w:pPr>
              <w:rPr>
                <w:sz w:val="22"/>
                <w:szCs w:val="22"/>
              </w:rPr>
            </w:pPr>
          </w:p>
          <w:p w:rsidR="00242BF2" w:rsidRPr="00A65692" w:rsidRDefault="00242BF2" w:rsidP="00242BF2">
            <w:pPr>
              <w:rPr>
                <w:sz w:val="22"/>
                <w:szCs w:val="22"/>
              </w:rPr>
            </w:pPr>
            <w:r w:rsidRPr="00A65692">
              <w:rPr>
                <w:sz w:val="22"/>
                <w:szCs w:val="22"/>
              </w:rPr>
              <w:t xml:space="preserve">Доколку во различни периоди се применуваат различни каматни стапки, овие информации се наведуваат за секоја каматна стапка    </w:t>
            </w:r>
          </w:p>
          <w:p w:rsidR="00CE2A7C" w:rsidRPr="00A65692" w:rsidRDefault="00CE2A7C" w:rsidP="006B2808">
            <w:pPr>
              <w:ind w:left="62"/>
              <w:rPr>
                <w:sz w:val="22"/>
                <w:szCs w:val="22"/>
              </w:rPr>
            </w:pPr>
          </w:p>
        </w:tc>
        <w:tc>
          <w:tcPr>
            <w:tcW w:w="4397" w:type="dxa"/>
            <w:tcBorders>
              <w:top w:val="single" w:sz="2" w:space="0" w:color="auto"/>
              <w:left w:val="single" w:sz="2" w:space="0" w:color="auto"/>
              <w:bottom w:val="single" w:sz="2" w:space="0" w:color="auto"/>
              <w:right w:val="single" w:sz="2" w:space="0" w:color="auto"/>
            </w:tcBorders>
            <w:vAlign w:val="center"/>
          </w:tcPr>
          <w:p w:rsidR="00BC36E4" w:rsidRPr="00A65692" w:rsidRDefault="00BC36E4" w:rsidP="00BC36E4">
            <w:pPr>
              <w:jc w:val="both"/>
              <w:rPr>
                <w:sz w:val="22"/>
                <w:szCs w:val="22"/>
              </w:rPr>
            </w:pPr>
            <w:r w:rsidRPr="00A65692">
              <w:rPr>
                <w:color w:val="000000"/>
                <w:sz w:val="22"/>
                <w:szCs w:val="22"/>
              </w:rPr>
              <w:t xml:space="preserve">Референтната стапка за благајнички записи што важела на последниот ден од полугодието што му претходело на тековното полугодие, зголемена за </w:t>
            </w:r>
            <w:r w:rsidRPr="00A65692">
              <w:rPr>
                <w:color w:val="000000"/>
                <w:sz w:val="22"/>
                <w:szCs w:val="22"/>
                <w:lang w:val="ru-RU"/>
              </w:rPr>
              <w:t>8</w:t>
            </w:r>
            <w:r w:rsidRPr="00A65692">
              <w:rPr>
                <w:color w:val="000000"/>
                <w:sz w:val="22"/>
                <w:szCs w:val="22"/>
              </w:rPr>
              <w:t xml:space="preserve"> (осум) процентни поени, на годишно ниво</w:t>
            </w:r>
            <w:r w:rsidRPr="00A65692">
              <w:rPr>
                <w:color w:val="000000"/>
                <w:sz w:val="22"/>
                <w:szCs w:val="22"/>
                <w:lang w:val="ru-RU"/>
              </w:rPr>
              <w:t xml:space="preserve">. </w:t>
            </w:r>
            <w:r w:rsidRPr="00A65692">
              <w:rPr>
                <w:color w:val="000000"/>
                <w:sz w:val="22"/>
                <w:szCs w:val="22"/>
              </w:rPr>
              <w:t>Висината на каматната стапка</w:t>
            </w:r>
            <w:r w:rsidRPr="00A65692">
              <w:rPr>
                <w:color w:val="000000"/>
                <w:sz w:val="22"/>
                <w:szCs w:val="22"/>
                <w:lang w:val="ru-RU"/>
              </w:rPr>
              <w:t xml:space="preserve"> </w:t>
            </w:r>
            <w:r w:rsidRPr="00A65692">
              <w:rPr>
                <w:color w:val="000000"/>
                <w:sz w:val="22"/>
                <w:szCs w:val="22"/>
              </w:rPr>
              <w:t>и начинот на пресметка се променливи согласно политиката за висината на каматните стапки на БАНКАТА, како и согласно со важечките законски прописи во Р</w:t>
            </w:r>
            <w:r w:rsidR="00F81E1F">
              <w:rPr>
                <w:color w:val="000000"/>
                <w:sz w:val="22"/>
                <w:szCs w:val="22"/>
              </w:rPr>
              <w:t>С</w:t>
            </w:r>
            <w:r w:rsidRPr="00A65692">
              <w:rPr>
                <w:color w:val="000000"/>
                <w:sz w:val="22"/>
                <w:szCs w:val="22"/>
              </w:rPr>
              <w:t>М и промената на референтната стапка за благајнички записи, која НБР</w:t>
            </w:r>
            <w:r w:rsidR="005A43C3">
              <w:rPr>
                <w:color w:val="000000"/>
                <w:sz w:val="22"/>
                <w:szCs w:val="22"/>
              </w:rPr>
              <w:t>С</w:t>
            </w:r>
            <w:r w:rsidRPr="00A65692">
              <w:rPr>
                <w:color w:val="000000"/>
                <w:sz w:val="22"/>
                <w:szCs w:val="22"/>
              </w:rPr>
              <w:t>М е должна полугодишно да ја објави на својата интернет страна.</w:t>
            </w:r>
          </w:p>
          <w:p w:rsidR="0079309B" w:rsidRPr="00A65692" w:rsidRDefault="0079309B" w:rsidP="00214132">
            <w:pPr>
              <w:jc w:val="center"/>
              <w:rPr>
                <w:iCs/>
                <w:spacing w:val="2"/>
                <w:sz w:val="22"/>
                <w:szCs w:val="22"/>
                <w:u w:val="single"/>
              </w:rPr>
            </w:pPr>
          </w:p>
          <w:p w:rsidR="00F45ACB" w:rsidRPr="00A65692" w:rsidRDefault="00F45ACB" w:rsidP="00FC5EE0">
            <w:pPr>
              <w:rPr>
                <w:iCs/>
                <w:spacing w:val="2"/>
                <w:sz w:val="22"/>
                <w:szCs w:val="22"/>
                <w:u w:val="single"/>
              </w:rPr>
            </w:pPr>
          </w:p>
          <w:p w:rsidR="00F45ACB" w:rsidRPr="00A65692" w:rsidRDefault="00F45ACB" w:rsidP="00FC5EE0">
            <w:pPr>
              <w:rPr>
                <w:iCs/>
                <w:spacing w:val="2"/>
                <w:sz w:val="22"/>
                <w:szCs w:val="22"/>
                <w:u w:val="single"/>
              </w:rPr>
            </w:pPr>
          </w:p>
          <w:p w:rsidR="00CE2A7C" w:rsidRPr="00A65692" w:rsidRDefault="00CE2A7C" w:rsidP="00B520A3">
            <w:pPr>
              <w:rPr>
                <w:sz w:val="22"/>
                <w:szCs w:val="22"/>
              </w:rPr>
            </w:pPr>
          </w:p>
        </w:tc>
      </w:tr>
      <w:tr w:rsidR="00CE2A7C" w:rsidRPr="00A65692" w:rsidTr="00345AE6">
        <w:trPr>
          <w:trHeight w:hRule="exact" w:val="5950"/>
        </w:trPr>
        <w:tc>
          <w:tcPr>
            <w:tcW w:w="5227" w:type="dxa"/>
            <w:tcBorders>
              <w:top w:val="single" w:sz="2" w:space="0" w:color="auto"/>
              <w:left w:val="single" w:sz="2" w:space="0" w:color="auto"/>
              <w:bottom w:val="single" w:sz="2" w:space="0" w:color="auto"/>
              <w:right w:val="single" w:sz="2" w:space="0" w:color="auto"/>
            </w:tcBorders>
            <w:vAlign w:val="center"/>
          </w:tcPr>
          <w:p w:rsidR="00450E53" w:rsidRPr="00A65692" w:rsidRDefault="00450E53" w:rsidP="00450E53">
            <w:pPr>
              <w:rPr>
                <w:iCs/>
                <w:sz w:val="22"/>
                <w:szCs w:val="22"/>
              </w:rPr>
            </w:pPr>
            <w:r w:rsidRPr="00A65692">
              <w:rPr>
                <w:sz w:val="22"/>
                <w:szCs w:val="22"/>
              </w:rPr>
              <w:t xml:space="preserve">Годишна стапка на вкупни трошоци (СВТ) изразена во % на годишно ниво претставена </w:t>
            </w:r>
            <w:r w:rsidRPr="00A65692">
              <w:rPr>
                <w:iCs/>
                <w:sz w:val="22"/>
                <w:szCs w:val="22"/>
              </w:rPr>
              <w:t>преку репрезентативен пример.</w:t>
            </w:r>
          </w:p>
          <w:p w:rsidR="00450E53" w:rsidRPr="00A65692" w:rsidRDefault="00450E53" w:rsidP="00450E53">
            <w:pPr>
              <w:rPr>
                <w:sz w:val="22"/>
                <w:szCs w:val="22"/>
              </w:rPr>
            </w:pPr>
          </w:p>
          <w:p w:rsidR="00450E53" w:rsidRPr="00A65692" w:rsidRDefault="00450E53" w:rsidP="00450E53">
            <w:pPr>
              <w:rPr>
                <w:rFonts w:eastAsia="TimesNewRoman"/>
                <w:b/>
                <w:sz w:val="22"/>
                <w:szCs w:val="22"/>
              </w:rPr>
            </w:pPr>
            <w:r w:rsidRPr="00A65692">
              <w:rPr>
                <w:sz w:val="22"/>
                <w:szCs w:val="22"/>
              </w:rPr>
              <w:t>При пресметката на СВТ кредиторот не го вклучува износот на трошоците кој не му е познат, но  е должен тоа јасно да го наведе</w:t>
            </w:r>
          </w:p>
          <w:p w:rsidR="00450E53" w:rsidRPr="00A65692" w:rsidRDefault="00450E53" w:rsidP="00450E53">
            <w:pPr>
              <w:rPr>
                <w:sz w:val="22"/>
                <w:szCs w:val="22"/>
              </w:rPr>
            </w:pPr>
          </w:p>
          <w:p w:rsidR="00345AE6" w:rsidRPr="00A65692" w:rsidRDefault="00345AE6" w:rsidP="00345AE6">
            <w:pPr>
              <w:rPr>
                <w:sz w:val="22"/>
                <w:szCs w:val="22"/>
              </w:rPr>
            </w:pPr>
            <w:r w:rsidRPr="00A65692">
              <w:rPr>
                <w:sz w:val="22"/>
                <w:szCs w:val="22"/>
              </w:rPr>
              <w:t>Вкупен износ што го плаќа потрошувачот (збир на кредитот и вкуните трошоци за кредитот, односно сите трошоци, вклучувајќи камати, провизии, други надоместоци, кои потрошувачот треба да ги плати при одобрувањето и редовна отплата на кредитот и кои му се познати на кредиторот, освен нотарските трошоци, а со вклучување на трошоците за дополнителни услуги поврзани со договорот за кредит, доколку користењето дополнителни услуги е задолжително за одобрување на кредитот или за негово одобрување под назначените услови и доколку му се познати на кредиторот)</w:t>
            </w:r>
          </w:p>
          <w:p w:rsidR="00CE2A7C" w:rsidRPr="00A65692" w:rsidRDefault="00CE2A7C" w:rsidP="00C64DAE">
            <w:pPr>
              <w:ind w:left="62"/>
              <w:rPr>
                <w:sz w:val="22"/>
                <w:szCs w:val="22"/>
              </w:rPr>
            </w:pPr>
          </w:p>
        </w:tc>
        <w:tc>
          <w:tcPr>
            <w:tcW w:w="4397" w:type="dxa"/>
            <w:tcBorders>
              <w:top w:val="single" w:sz="2" w:space="0" w:color="auto"/>
              <w:left w:val="single" w:sz="2" w:space="0" w:color="auto"/>
              <w:bottom w:val="single" w:sz="2" w:space="0" w:color="auto"/>
              <w:right w:val="single" w:sz="2" w:space="0" w:color="auto"/>
            </w:tcBorders>
            <w:vAlign w:val="center"/>
          </w:tcPr>
          <w:p w:rsidR="00CE2A7C" w:rsidRPr="00A65692" w:rsidRDefault="00CE2A7C" w:rsidP="00F76E07">
            <w:pPr>
              <w:rPr>
                <w:iCs/>
                <w:sz w:val="22"/>
                <w:szCs w:val="22"/>
              </w:rPr>
            </w:pPr>
            <w:r w:rsidRPr="00A65692">
              <w:rPr>
                <w:iCs/>
                <w:sz w:val="22"/>
                <w:szCs w:val="22"/>
              </w:rPr>
              <w:t>Не се пресметува СВТ за овој вид пласман</w:t>
            </w:r>
          </w:p>
          <w:p w:rsidR="00850FD2" w:rsidRPr="00A65692" w:rsidRDefault="00850FD2" w:rsidP="00F76E07">
            <w:pPr>
              <w:rPr>
                <w:iCs/>
                <w:sz w:val="22"/>
                <w:szCs w:val="22"/>
                <w:lang w:val="en-GB"/>
              </w:rPr>
            </w:pPr>
          </w:p>
          <w:p w:rsidR="00EC0F43" w:rsidRPr="00A65692" w:rsidRDefault="00EC0F43" w:rsidP="00850FD2">
            <w:pPr>
              <w:jc w:val="both"/>
              <w:rPr>
                <w:iCs/>
                <w:sz w:val="22"/>
                <w:szCs w:val="22"/>
                <w:lang w:val="en-GB"/>
              </w:rPr>
            </w:pPr>
          </w:p>
        </w:tc>
      </w:tr>
      <w:tr w:rsidR="004F7DDF" w:rsidRPr="00A65692" w:rsidTr="004F7DDF">
        <w:trPr>
          <w:trHeight w:hRule="exact" w:val="4484"/>
        </w:trPr>
        <w:tc>
          <w:tcPr>
            <w:tcW w:w="5227" w:type="dxa"/>
            <w:tcBorders>
              <w:top w:val="single" w:sz="2" w:space="0" w:color="auto"/>
              <w:left w:val="single" w:sz="2" w:space="0" w:color="auto"/>
              <w:bottom w:val="single" w:sz="2" w:space="0" w:color="auto"/>
              <w:right w:val="single" w:sz="2" w:space="0" w:color="auto"/>
            </w:tcBorders>
          </w:tcPr>
          <w:p w:rsidR="004F7DDF" w:rsidRPr="00A65692" w:rsidRDefault="004F7DDF" w:rsidP="00831710">
            <w:pPr>
              <w:spacing w:line="240" w:lineRule="atLeast"/>
              <w:contextualSpacing/>
              <w:rPr>
                <w:sz w:val="22"/>
                <w:szCs w:val="22"/>
              </w:rPr>
            </w:pPr>
          </w:p>
          <w:p w:rsidR="004F7DDF" w:rsidRPr="00A65692" w:rsidRDefault="004F7DDF" w:rsidP="00831710">
            <w:pPr>
              <w:spacing w:line="240" w:lineRule="atLeast"/>
              <w:contextualSpacing/>
              <w:rPr>
                <w:sz w:val="22"/>
                <w:szCs w:val="22"/>
              </w:rPr>
            </w:pPr>
          </w:p>
          <w:p w:rsidR="004F7DDF" w:rsidRPr="00A65692" w:rsidRDefault="004F7DDF" w:rsidP="00831710">
            <w:pPr>
              <w:spacing w:line="240" w:lineRule="atLeast"/>
              <w:contextualSpacing/>
              <w:rPr>
                <w:sz w:val="22"/>
                <w:szCs w:val="22"/>
              </w:rPr>
            </w:pPr>
            <w:r w:rsidRPr="00A65692">
              <w:rPr>
                <w:sz w:val="22"/>
                <w:szCs w:val="22"/>
              </w:rPr>
              <w:t xml:space="preserve">Други трошоци коишто произлегуваат од договорот за потрошувачки кредит и условите под кои тие трошоци можат да се променат(доколку е применливо) Кредиторот може да го наведе приближниот износ на трошоците, доколку не располага со нивниот точен износ </w:t>
            </w:r>
          </w:p>
          <w:p w:rsidR="004F7DDF" w:rsidRPr="00A65692" w:rsidRDefault="004F7DDF" w:rsidP="00831710">
            <w:pPr>
              <w:spacing w:line="240" w:lineRule="atLeast"/>
              <w:contextualSpacing/>
              <w:rPr>
                <w:sz w:val="22"/>
                <w:szCs w:val="22"/>
              </w:rPr>
            </w:pPr>
          </w:p>
        </w:tc>
        <w:tc>
          <w:tcPr>
            <w:tcW w:w="4397" w:type="dxa"/>
            <w:tcBorders>
              <w:top w:val="single" w:sz="2" w:space="0" w:color="auto"/>
              <w:left w:val="single" w:sz="2" w:space="0" w:color="auto"/>
              <w:bottom w:val="single" w:sz="2" w:space="0" w:color="auto"/>
              <w:right w:val="single" w:sz="2" w:space="0" w:color="auto"/>
            </w:tcBorders>
          </w:tcPr>
          <w:p w:rsidR="004F7DDF" w:rsidRPr="00A65692" w:rsidRDefault="004F7DDF" w:rsidP="00831710">
            <w:pPr>
              <w:spacing w:line="240" w:lineRule="atLeast"/>
              <w:contextualSpacing/>
              <w:rPr>
                <w:iCs/>
                <w:sz w:val="22"/>
                <w:szCs w:val="22"/>
              </w:rPr>
            </w:pPr>
          </w:p>
          <w:p w:rsidR="004F7DDF" w:rsidRPr="00A65692" w:rsidRDefault="004F7DDF" w:rsidP="004F7DDF">
            <w:pPr>
              <w:spacing w:line="240" w:lineRule="atLeast"/>
              <w:contextualSpacing/>
              <w:rPr>
                <w:iCs/>
                <w:sz w:val="22"/>
                <w:szCs w:val="22"/>
              </w:rPr>
            </w:pPr>
            <w:r w:rsidRPr="00A65692">
              <w:rPr>
                <w:iCs/>
                <w:sz w:val="22"/>
                <w:szCs w:val="22"/>
              </w:rPr>
              <w:t>- еднократен  административен трошок за разгледување и обработка на барање во износ 200,00 мкд.</w:t>
            </w:r>
          </w:p>
          <w:p w:rsidR="004F7DDF" w:rsidRPr="00A65692" w:rsidRDefault="004F7DDF" w:rsidP="00831710">
            <w:pPr>
              <w:spacing w:line="240" w:lineRule="atLeast"/>
              <w:contextualSpacing/>
              <w:jc w:val="both"/>
              <w:rPr>
                <w:iCs/>
                <w:sz w:val="22"/>
                <w:szCs w:val="22"/>
              </w:rPr>
            </w:pPr>
            <w:r w:rsidRPr="00A65692">
              <w:rPr>
                <w:iCs/>
                <w:sz w:val="22"/>
                <w:szCs w:val="22"/>
              </w:rPr>
              <w:t xml:space="preserve">- трошок за годишна премија за осигурување со полиса за ризико осигурување на живот е во износ од 200,00 мкд. Првата година е на товар на Банката. Секоја наредна година ќе се наплатува со задолжување на </w:t>
            </w:r>
            <w:r w:rsidR="003A5DD8">
              <w:rPr>
                <w:iCs/>
                <w:sz w:val="22"/>
                <w:szCs w:val="22"/>
              </w:rPr>
              <w:t>платежната</w:t>
            </w:r>
            <w:r w:rsidRPr="00A65692">
              <w:rPr>
                <w:iCs/>
                <w:sz w:val="22"/>
                <w:szCs w:val="22"/>
              </w:rPr>
              <w:t xml:space="preserve"> сметка на  клиентот,  годишно при обнова на договорот, доколку клиентот ги исполнува условите за обнова на договорот, редовно ги измирува обврските по договорот и го исполнува условот за возраст на осигуреник до 75 години.</w:t>
            </w:r>
          </w:p>
          <w:p w:rsidR="004F7DDF" w:rsidRPr="00A65692" w:rsidRDefault="004F7DDF" w:rsidP="004F7DDF">
            <w:pPr>
              <w:spacing w:line="240" w:lineRule="atLeast"/>
              <w:contextualSpacing/>
              <w:jc w:val="both"/>
              <w:rPr>
                <w:iCs/>
                <w:sz w:val="22"/>
                <w:szCs w:val="22"/>
              </w:rPr>
            </w:pPr>
            <w:r w:rsidRPr="00A65692">
              <w:rPr>
                <w:iCs/>
                <w:sz w:val="22"/>
                <w:szCs w:val="22"/>
              </w:rPr>
              <w:t>Трошокот е согласно Тарифа на Осигурувачот.</w:t>
            </w:r>
          </w:p>
        </w:tc>
      </w:tr>
      <w:tr w:rsidR="00CE2A7C" w:rsidRPr="00A65692" w:rsidTr="00450E53">
        <w:trPr>
          <w:trHeight w:hRule="exact" w:val="3415"/>
        </w:trPr>
        <w:tc>
          <w:tcPr>
            <w:tcW w:w="5227" w:type="dxa"/>
            <w:tcBorders>
              <w:top w:val="single" w:sz="2" w:space="0" w:color="auto"/>
              <w:left w:val="single" w:sz="2" w:space="0" w:color="auto"/>
              <w:bottom w:val="single" w:sz="2" w:space="0" w:color="auto"/>
              <w:right w:val="single" w:sz="2" w:space="0" w:color="auto"/>
            </w:tcBorders>
            <w:vAlign w:val="center"/>
          </w:tcPr>
          <w:p w:rsidR="00450E53" w:rsidRPr="00A65692" w:rsidRDefault="00450E53" w:rsidP="00450E53">
            <w:pPr>
              <w:rPr>
                <w:sz w:val="22"/>
                <w:szCs w:val="22"/>
              </w:rPr>
            </w:pPr>
            <w:r w:rsidRPr="00A65692">
              <w:rPr>
                <w:sz w:val="22"/>
                <w:szCs w:val="22"/>
              </w:rPr>
              <w:lastRenderedPageBreak/>
              <w:t>Други трошоци коишто произлегуваат од договорот за потрошувачки кредит и условите под кои тие трошоци можат да се променат, доколку е применливо.</w:t>
            </w:r>
          </w:p>
          <w:p w:rsidR="00450E53" w:rsidRPr="00A65692" w:rsidRDefault="00450E53" w:rsidP="00450E53">
            <w:pPr>
              <w:rPr>
                <w:sz w:val="22"/>
                <w:szCs w:val="22"/>
              </w:rPr>
            </w:pPr>
          </w:p>
          <w:p w:rsidR="00450E53" w:rsidRPr="00A65692" w:rsidRDefault="00450E53" w:rsidP="00450E53">
            <w:pPr>
              <w:rPr>
                <w:sz w:val="22"/>
                <w:szCs w:val="22"/>
              </w:rPr>
            </w:pPr>
            <w:r w:rsidRPr="00A65692">
              <w:rPr>
                <w:sz w:val="22"/>
                <w:szCs w:val="22"/>
              </w:rPr>
              <w:t>Доколку на кредиторот, односно кредитниот посредник не му е позната висината на овие трошоци, е должен тоа јасно да го наведе.</w:t>
            </w:r>
          </w:p>
          <w:p w:rsidR="00450E53" w:rsidRPr="00A65692" w:rsidRDefault="00450E53" w:rsidP="00450E53">
            <w:pPr>
              <w:rPr>
                <w:sz w:val="22"/>
                <w:szCs w:val="22"/>
              </w:rPr>
            </w:pPr>
          </w:p>
          <w:p w:rsidR="00450E53" w:rsidRPr="00A65692" w:rsidRDefault="00450E53" w:rsidP="00450E53">
            <w:pPr>
              <w:rPr>
                <w:sz w:val="22"/>
                <w:szCs w:val="22"/>
              </w:rPr>
            </w:pPr>
            <w:r w:rsidRPr="00A65692">
              <w:rPr>
                <w:sz w:val="22"/>
                <w:szCs w:val="22"/>
              </w:rPr>
              <w:t>Кредиторот, односно кредитниот посредник</w:t>
            </w:r>
            <w:r w:rsidRPr="00A65692" w:rsidDel="003247A7">
              <w:rPr>
                <w:sz w:val="22"/>
                <w:szCs w:val="22"/>
              </w:rPr>
              <w:t xml:space="preserve"> </w:t>
            </w:r>
            <w:r w:rsidRPr="00A65692">
              <w:rPr>
                <w:sz w:val="22"/>
                <w:szCs w:val="22"/>
              </w:rPr>
              <w:t>е должен да наведе дали овие трошоци се вклучени во пресметаната СВТ</w:t>
            </w:r>
          </w:p>
          <w:p w:rsidR="00CE2A7C" w:rsidRPr="00A65692" w:rsidRDefault="00CE2A7C" w:rsidP="00963AF3">
            <w:pPr>
              <w:rPr>
                <w:sz w:val="22"/>
                <w:szCs w:val="22"/>
              </w:rPr>
            </w:pPr>
          </w:p>
        </w:tc>
        <w:tc>
          <w:tcPr>
            <w:tcW w:w="4397" w:type="dxa"/>
            <w:tcBorders>
              <w:top w:val="single" w:sz="2" w:space="0" w:color="auto"/>
              <w:left w:val="single" w:sz="2" w:space="0" w:color="auto"/>
              <w:bottom w:val="single" w:sz="2" w:space="0" w:color="auto"/>
              <w:right w:val="single" w:sz="2" w:space="0" w:color="auto"/>
            </w:tcBorders>
            <w:vAlign w:val="center"/>
          </w:tcPr>
          <w:p w:rsidR="00CE2A7C" w:rsidRPr="00A65692" w:rsidRDefault="00CE2A7C" w:rsidP="00574C66">
            <w:pPr>
              <w:jc w:val="both"/>
              <w:rPr>
                <w:iCs/>
                <w:sz w:val="22"/>
                <w:szCs w:val="22"/>
              </w:rPr>
            </w:pPr>
            <w:r w:rsidRPr="00A65692">
              <w:rPr>
                <w:iCs/>
                <w:sz w:val="22"/>
                <w:szCs w:val="22"/>
              </w:rPr>
              <w:t xml:space="preserve">Надоместоци согласно Тарифата на Банката и предвидени во Договорот за </w:t>
            </w:r>
            <w:r w:rsidR="00994885" w:rsidRPr="00A65692">
              <w:rPr>
                <w:iCs/>
                <w:sz w:val="22"/>
                <w:szCs w:val="22"/>
              </w:rPr>
              <w:t>одобрување на дозволено пречекорување</w:t>
            </w:r>
            <w:r w:rsidRPr="00A65692">
              <w:rPr>
                <w:iCs/>
                <w:sz w:val="22"/>
                <w:szCs w:val="22"/>
              </w:rPr>
              <w:t>.</w:t>
            </w:r>
          </w:p>
        </w:tc>
      </w:tr>
      <w:tr w:rsidR="00450E53" w:rsidRPr="00A65692" w:rsidTr="002A4F5B">
        <w:trPr>
          <w:trHeight w:hRule="exact" w:val="6305"/>
        </w:trPr>
        <w:tc>
          <w:tcPr>
            <w:tcW w:w="5227" w:type="dxa"/>
            <w:tcBorders>
              <w:top w:val="single" w:sz="2" w:space="0" w:color="auto"/>
              <w:left w:val="single" w:sz="2" w:space="0" w:color="auto"/>
              <w:bottom w:val="single" w:sz="2" w:space="0" w:color="auto"/>
              <w:right w:val="single" w:sz="2" w:space="0" w:color="auto"/>
            </w:tcBorders>
          </w:tcPr>
          <w:p w:rsidR="00450E53" w:rsidRPr="00A65692" w:rsidRDefault="00450E53" w:rsidP="00450E53">
            <w:pPr>
              <w:rPr>
                <w:iCs/>
                <w:sz w:val="22"/>
                <w:szCs w:val="22"/>
              </w:rPr>
            </w:pPr>
          </w:p>
          <w:p w:rsidR="00450E53" w:rsidRPr="00A65692" w:rsidRDefault="00450E53" w:rsidP="00450E53">
            <w:pPr>
              <w:rPr>
                <w:iCs/>
                <w:sz w:val="22"/>
                <w:szCs w:val="22"/>
              </w:rPr>
            </w:pPr>
            <w:r w:rsidRPr="00A65692">
              <w:rPr>
                <w:iCs/>
                <w:sz w:val="22"/>
                <w:szCs w:val="22"/>
              </w:rPr>
              <w:t>Каматна стапка применлива во случај на задоцнети плаќања, изразена во % на годишна основа, услови за нејзина промена</w:t>
            </w:r>
          </w:p>
          <w:p w:rsidR="00450E53" w:rsidRPr="00A65692" w:rsidRDefault="00450E53" w:rsidP="00450E53">
            <w:pPr>
              <w:rPr>
                <w:iCs/>
                <w:sz w:val="22"/>
                <w:szCs w:val="22"/>
              </w:rPr>
            </w:pPr>
          </w:p>
          <w:p w:rsidR="00450E53" w:rsidRPr="00A65692" w:rsidRDefault="00450E53" w:rsidP="00450E53">
            <w:pPr>
              <w:rPr>
                <w:iCs/>
                <w:sz w:val="22"/>
                <w:szCs w:val="22"/>
              </w:rPr>
            </w:pPr>
          </w:p>
          <w:p w:rsidR="00450E53" w:rsidRPr="00A65692" w:rsidRDefault="00450E53" w:rsidP="00450E53">
            <w:pPr>
              <w:rPr>
                <w:iCs/>
                <w:sz w:val="22"/>
                <w:szCs w:val="22"/>
              </w:rPr>
            </w:pPr>
            <w:r w:rsidRPr="00A65692">
              <w:rPr>
                <w:iCs/>
                <w:sz w:val="22"/>
                <w:szCs w:val="22"/>
              </w:rPr>
              <w:t>Предупредување за последиците од неплаќање на ратите</w:t>
            </w:r>
          </w:p>
          <w:p w:rsidR="00450E53" w:rsidRPr="00A65692" w:rsidRDefault="00450E53" w:rsidP="00450E53">
            <w:pPr>
              <w:rPr>
                <w:sz w:val="22"/>
                <w:szCs w:val="22"/>
              </w:rPr>
            </w:pPr>
          </w:p>
        </w:tc>
        <w:tc>
          <w:tcPr>
            <w:tcW w:w="4397" w:type="dxa"/>
            <w:tcBorders>
              <w:top w:val="single" w:sz="2" w:space="0" w:color="auto"/>
              <w:left w:val="single" w:sz="2" w:space="0" w:color="auto"/>
              <w:bottom w:val="single" w:sz="2" w:space="0" w:color="auto"/>
              <w:right w:val="single" w:sz="2" w:space="0" w:color="auto"/>
            </w:tcBorders>
            <w:vAlign w:val="center"/>
          </w:tcPr>
          <w:p w:rsidR="00450E53" w:rsidRPr="00B04C8C" w:rsidRDefault="00450E53" w:rsidP="005C4F6C">
            <w:pPr>
              <w:ind w:left="62"/>
              <w:jc w:val="both"/>
              <w:rPr>
                <w:color w:val="FF0000"/>
                <w:sz w:val="22"/>
                <w:szCs w:val="22"/>
              </w:rPr>
            </w:pPr>
            <w:r w:rsidRPr="00A65692">
              <w:rPr>
                <w:sz w:val="22"/>
                <w:szCs w:val="22"/>
              </w:rPr>
              <w:t xml:space="preserve">За пропуштање рок за плаќање/задоцнето плаќање ќе </w:t>
            </w:r>
            <w:r w:rsidR="00136713" w:rsidRPr="00A65692">
              <w:rPr>
                <w:sz w:val="22"/>
                <w:szCs w:val="22"/>
              </w:rPr>
              <w:t xml:space="preserve">ви </w:t>
            </w:r>
            <w:r w:rsidRPr="00A65692">
              <w:rPr>
                <w:sz w:val="22"/>
                <w:szCs w:val="22"/>
              </w:rPr>
              <w:t xml:space="preserve">се наплати максимално </w:t>
            </w:r>
            <w:r w:rsidRPr="00B04C8C">
              <w:rPr>
                <w:sz w:val="22"/>
                <w:szCs w:val="22"/>
              </w:rPr>
              <w:t xml:space="preserve">дозволената казнена стапка, која во моментот изнесува </w:t>
            </w:r>
            <w:r w:rsidR="00594B74" w:rsidRPr="00B04C8C">
              <w:rPr>
                <w:sz w:val="22"/>
                <w:szCs w:val="22"/>
                <w:lang w:val="en-US"/>
              </w:rPr>
              <w:t>14</w:t>
            </w:r>
            <w:r w:rsidR="004B09F5" w:rsidRPr="00B04C8C">
              <w:rPr>
                <w:sz w:val="22"/>
                <w:szCs w:val="22"/>
              </w:rPr>
              <w:t xml:space="preserve"> </w:t>
            </w:r>
            <w:r w:rsidRPr="00B04C8C">
              <w:rPr>
                <w:sz w:val="22"/>
                <w:szCs w:val="22"/>
              </w:rPr>
              <w:t>% на годишна основа.</w:t>
            </w:r>
          </w:p>
          <w:p w:rsidR="00136713" w:rsidRPr="00A65692" w:rsidRDefault="00136713" w:rsidP="00136713">
            <w:pPr>
              <w:ind w:left="62"/>
              <w:rPr>
                <w:sz w:val="22"/>
                <w:szCs w:val="22"/>
              </w:rPr>
            </w:pPr>
            <w:r w:rsidRPr="00B04C8C">
              <w:rPr>
                <w:sz w:val="22"/>
                <w:szCs w:val="22"/>
              </w:rPr>
              <w:t>Висината на стапката на казнената камата се определува за секое полугодие и тоа во висина на референтната стапка (каматната стапка на благајничките записи) што важела на последниот ден од полугодието</w:t>
            </w:r>
            <w:r w:rsidRPr="00A65692">
              <w:rPr>
                <w:sz w:val="22"/>
                <w:szCs w:val="22"/>
              </w:rPr>
              <w:t xml:space="preserve"> што му претходело на тековното полугодие зголемена за осум процентни поени.</w:t>
            </w:r>
          </w:p>
          <w:p w:rsidR="00136713" w:rsidRPr="00A65692" w:rsidRDefault="00136713" w:rsidP="00136713">
            <w:pPr>
              <w:rPr>
                <w:sz w:val="22"/>
                <w:szCs w:val="22"/>
              </w:rPr>
            </w:pPr>
          </w:p>
          <w:p w:rsidR="002A4F5B" w:rsidRPr="00A65692" w:rsidRDefault="00136713" w:rsidP="002A4F5B">
            <w:pPr>
              <w:spacing w:line="240" w:lineRule="atLeast"/>
              <w:rPr>
                <w:rFonts w:ascii="Tahoma" w:hAnsi="Tahoma" w:cs="Tahoma"/>
                <w:iCs/>
                <w:sz w:val="18"/>
                <w:szCs w:val="18"/>
              </w:rPr>
            </w:pPr>
            <w:r w:rsidRPr="00A65692">
              <w:rPr>
                <w:sz w:val="22"/>
                <w:szCs w:val="22"/>
              </w:rPr>
              <w:t>Во случај на ненавремено подмирување на обврските по кредитот, согласно Законот за облигациони односи и Законот за извршување, банката има право вкупните побарувања по кредитот (главница, камата, трошоци) да ги смета за целосно доспеани и да поведе постапка пред надлежен орган за присилна наплата на побарувањето.</w:t>
            </w:r>
            <w:r w:rsidR="002A4F5B" w:rsidRPr="00A65692">
              <w:rPr>
                <w:rFonts w:ascii="Tahoma" w:hAnsi="Tahoma" w:cs="Tahoma"/>
                <w:iCs/>
                <w:sz w:val="18"/>
                <w:szCs w:val="18"/>
              </w:rPr>
              <w:t xml:space="preserve"> </w:t>
            </w:r>
          </w:p>
          <w:p w:rsidR="002A4F5B" w:rsidRPr="00A65692" w:rsidRDefault="002A4F5B" w:rsidP="002A4F5B">
            <w:pPr>
              <w:spacing w:line="240" w:lineRule="atLeast"/>
              <w:rPr>
                <w:rFonts w:ascii="Tahoma" w:hAnsi="Tahoma" w:cs="Tahoma"/>
                <w:iCs/>
                <w:sz w:val="18"/>
                <w:szCs w:val="18"/>
              </w:rPr>
            </w:pPr>
          </w:p>
          <w:p w:rsidR="002A4F5B" w:rsidRPr="00A65692" w:rsidRDefault="002A4F5B" w:rsidP="002A4F5B">
            <w:pPr>
              <w:spacing w:line="240" w:lineRule="atLeast"/>
              <w:rPr>
                <w:iCs/>
                <w:szCs w:val="22"/>
              </w:rPr>
            </w:pPr>
            <w:r w:rsidRPr="00A65692">
              <w:rPr>
                <w:sz w:val="22"/>
                <w:szCs w:val="22"/>
              </w:rPr>
              <w:t>Податоците за достасаните, нефункционалните или отпишаните побарувања може да бидат пренесени на трето лице за целите на продажба.</w:t>
            </w:r>
          </w:p>
          <w:p w:rsidR="00136713" w:rsidRPr="00A65692" w:rsidRDefault="00136713" w:rsidP="00136713">
            <w:pPr>
              <w:ind w:left="62"/>
              <w:rPr>
                <w:sz w:val="22"/>
                <w:szCs w:val="22"/>
              </w:rPr>
            </w:pPr>
          </w:p>
          <w:p w:rsidR="002A4F5B" w:rsidRPr="00A65692" w:rsidRDefault="002A4F5B" w:rsidP="00136713">
            <w:pPr>
              <w:ind w:left="62"/>
              <w:rPr>
                <w:sz w:val="22"/>
                <w:szCs w:val="22"/>
              </w:rPr>
            </w:pPr>
          </w:p>
          <w:p w:rsidR="00450E53" w:rsidRPr="00A65692" w:rsidRDefault="00450E53" w:rsidP="005C4F6C">
            <w:pPr>
              <w:spacing w:before="252"/>
              <w:jc w:val="both"/>
              <w:rPr>
                <w:sz w:val="22"/>
                <w:szCs w:val="22"/>
              </w:rPr>
            </w:pPr>
          </w:p>
          <w:p w:rsidR="00450E53" w:rsidRPr="00A65692" w:rsidRDefault="00450E53" w:rsidP="005C4F6C">
            <w:pPr>
              <w:spacing w:before="252"/>
              <w:jc w:val="both"/>
              <w:rPr>
                <w:iCs/>
                <w:color w:val="FF0000"/>
                <w:sz w:val="22"/>
                <w:szCs w:val="22"/>
              </w:rPr>
            </w:pPr>
          </w:p>
        </w:tc>
      </w:tr>
    </w:tbl>
    <w:p w:rsidR="003C419B" w:rsidRPr="00A65692" w:rsidRDefault="003C419B" w:rsidP="00C46F6A">
      <w:pPr>
        <w:ind w:left="432"/>
        <w:rPr>
          <w:b/>
          <w:sz w:val="22"/>
          <w:szCs w:val="22"/>
        </w:rPr>
      </w:pPr>
    </w:p>
    <w:p w:rsidR="00C46F6A" w:rsidRPr="00A65692" w:rsidRDefault="003C419B" w:rsidP="00C46F6A">
      <w:pPr>
        <w:ind w:left="432"/>
        <w:rPr>
          <w:b/>
          <w:sz w:val="22"/>
          <w:szCs w:val="22"/>
        </w:rPr>
      </w:pPr>
      <w:r w:rsidRPr="00A65692">
        <w:rPr>
          <w:b/>
          <w:sz w:val="22"/>
          <w:szCs w:val="22"/>
        </w:rPr>
        <w:br w:type="page"/>
      </w:r>
    </w:p>
    <w:p w:rsidR="00E415C4" w:rsidRPr="00A65692" w:rsidRDefault="00E415C4" w:rsidP="003C0B21">
      <w:pPr>
        <w:numPr>
          <w:ilvl w:val="0"/>
          <w:numId w:val="7"/>
        </w:numPr>
        <w:rPr>
          <w:b/>
          <w:sz w:val="22"/>
          <w:szCs w:val="22"/>
        </w:rPr>
      </w:pPr>
      <w:r w:rsidRPr="00A65692">
        <w:rPr>
          <w:b/>
          <w:sz w:val="22"/>
          <w:szCs w:val="22"/>
        </w:rPr>
        <w:lastRenderedPageBreak/>
        <w:t>Останато</w:t>
      </w:r>
    </w:p>
    <w:tbl>
      <w:tblPr>
        <w:tblW w:w="9624" w:type="dxa"/>
        <w:tblInd w:w="6" w:type="dxa"/>
        <w:tblLayout w:type="fixed"/>
        <w:tblCellMar>
          <w:left w:w="0" w:type="dxa"/>
          <w:right w:w="0" w:type="dxa"/>
        </w:tblCellMar>
        <w:tblLook w:val="0000" w:firstRow="0" w:lastRow="0" w:firstColumn="0" w:lastColumn="0" w:noHBand="0" w:noVBand="0"/>
      </w:tblPr>
      <w:tblGrid>
        <w:gridCol w:w="5242"/>
        <w:gridCol w:w="4382"/>
      </w:tblGrid>
      <w:tr w:rsidR="0044428D" w:rsidRPr="00A65692" w:rsidTr="00450E53">
        <w:trPr>
          <w:trHeight w:hRule="exact" w:val="317"/>
        </w:trPr>
        <w:tc>
          <w:tcPr>
            <w:tcW w:w="5242" w:type="dxa"/>
            <w:tcBorders>
              <w:top w:val="single" w:sz="2" w:space="0" w:color="auto"/>
              <w:left w:val="single" w:sz="2" w:space="0" w:color="auto"/>
              <w:bottom w:val="single" w:sz="2" w:space="0" w:color="auto"/>
              <w:right w:val="single" w:sz="2" w:space="0" w:color="auto"/>
            </w:tcBorders>
            <w:vAlign w:val="center"/>
          </w:tcPr>
          <w:p w:rsidR="0044428D" w:rsidRPr="00A65692" w:rsidRDefault="0044428D" w:rsidP="003E38E1">
            <w:pPr>
              <w:jc w:val="center"/>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1</w:t>
            </w:r>
          </w:p>
        </w:tc>
        <w:tc>
          <w:tcPr>
            <w:tcW w:w="4382" w:type="dxa"/>
            <w:tcBorders>
              <w:top w:val="single" w:sz="2" w:space="0" w:color="auto"/>
              <w:left w:val="single" w:sz="2" w:space="0" w:color="auto"/>
              <w:bottom w:val="single" w:sz="2" w:space="0" w:color="auto"/>
              <w:right w:val="single" w:sz="2" w:space="0" w:color="auto"/>
            </w:tcBorders>
            <w:vAlign w:val="center"/>
          </w:tcPr>
          <w:p w:rsidR="0044428D" w:rsidRPr="00A65692" w:rsidRDefault="0044428D" w:rsidP="003E38E1">
            <w:pPr>
              <w:ind w:right="1678"/>
              <w:jc w:val="right"/>
              <w:rPr>
                <w:sz w:val="22"/>
                <w:szCs w:val="22"/>
                <w:lang w:val="en-US"/>
              </w:rPr>
            </w:pPr>
            <w:proofErr w:type="spellStart"/>
            <w:r w:rsidRPr="00A65692">
              <w:rPr>
                <w:sz w:val="22"/>
                <w:szCs w:val="22"/>
                <w:lang w:val="en-US"/>
              </w:rPr>
              <w:t>Колона</w:t>
            </w:r>
            <w:proofErr w:type="spellEnd"/>
            <w:r w:rsidRPr="00A65692">
              <w:rPr>
                <w:sz w:val="22"/>
                <w:szCs w:val="22"/>
                <w:lang w:val="en-US"/>
              </w:rPr>
              <w:t xml:space="preserve"> 2</w:t>
            </w:r>
          </w:p>
        </w:tc>
      </w:tr>
      <w:tr w:rsidR="0044428D" w:rsidRPr="00A65692" w:rsidTr="00450E53">
        <w:trPr>
          <w:trHeight w:hRule="exact" w:val="9360"/>
        </w:trPr>
        <w:tc>
          <w:tcPr>
            <w:tcW w:w="5242" w:type="dxa"/>
            <w:tcBorders>
              <w:top w:val="single" w:sz="2" w:space="0" w:color="auto"/>
              <w:left w:val="single" w:sz="2" w:space="0" w:color="auto"/>
              <w:bottom w:val="single" w:sz="2" w:space="0" w:color="auto"/>
              <w:right w:val="single" w:sz="2" w:space="0" w:color="auto"/>
            </w:tcBorders>
          </w:tcPr>
          <w:p w:rsidR="00450E53" w:rsidRPr="00A65692" w:rsidRDefault="00450E53" w:rsidP="00450E53">
            <w:pPr>
              <w:rPr>
                <w:iCs/>
                <w:sz w:val="22"/>
                <w:szCs w:val="22"/>
              </w:rPr>
            </w:pPr>
            <w:r w:rsidRPr="00A65692">
              <w:rPr>
                <w:iCs/>
                <w:sz w:val="22"/>
                <w:szCs w:val="22"/>
              </w:rPr>
              <w:t>Имате право да се откажете од договорот за потрошувачки кредит, во определен рок</w:t>
            </w:r>
          </w:p>
          <w:p w:rsidR="0044428D" w:rsidRPr="00A65692" w:rsidRDefault="0044428D" w:rsidP="003E38E1">
            <w:pPr>
              <w:ind w:left="62"/>
              <w:rPr>
                <w:sz w:val="22"/>
                <w:szCs w:val="22"/>
              </w:rPr>
            </w:pPr>
          </w:p>
        </w:tc>
        <w:tc>
          <w:tcPr>
            <w:tcW w:w="4382" w:type="dxa"/>
            <w:tcBorders>
              <w:top w:val="single" w:sz="2" w:space="0" w:color="auto"/>
              <w:left w:val="single" w:sz="2" w:space="0" w:color="auto"/>
              <w:bottom w:val="single" w:sz="2" w:space="0" w:color="auto"/>
              <w:right w:val="single" w:sz="2" w:space="0" w:color="auto"/>
            </w:tcBorders>
          </w:tcPr>
          <w:p w:rsidR="00C219CE" w:rsidRPr="00A65692" w:rsidRDefault="00C219CE" w:rsidP="005C4F6C">
            <w:pPr>
              <w:ind w:left="62"/>
              <w:jc w:val="both"/>
              <w:rPr>
                <w:sz w:val="22"/>
                <w:szCs w:val="22"/>
              </w:rPr>
            </w:pPr>
            <w:r w:rsidRPr="00A65692">
              <w:rPr>
                <w:sz w:val="22"/>
                <w:szCs w:val="22"/>
              </w:rPr>
              <w:t xml:space="preserve">Потрошувачот може да се откаже од договорот за кредит во рок од </w:t>
            </w:r>
            <w:r w:rsidRPr="00A65692">
              <w:rPr>
                <w:spacing w:val="-2"/>
                <w:sz w:val="22"/>
                <w:szCs w:val="22"/>
              </w:rPr>
              <w:t xml:space="preserve">14 </w:t>
            </w:r>
            <w:r w:rsidRPr="00A65692">
              <w:rPr>
                <w:sz w:val="22"/>
                <w:szCs w:val="22"/>
              </w:rPr>
              <w:t xml:space="preserve">дена, без да наведува причина за откажувањето. Рокот на откажување започнува да тече: </w:t>
            </w:r>
          </w:p>
          <w:p w:rsidR="00C219CE" w:rsidRPr="00A65692" w:rsidRDefault="00C219CE" w:rsidP="005C4F6C">
            <w:pPr>
              <w:ind w:left="62"/>
              <w:jc w:val="both"/>
              <w:rPr>
                <w:sz w:val="22"/>
                <w:szCs w:val="22"/>
              </w:rPr>
            </w:pPr>
            <w:r w:rsidRPr="00A65692">
              <w:rPr>
                <w:sz w:val="22"/>
                <w:szCs w:val="22"/>
              </w:rPr>
              <w:t>- од денот на склучувањето на договорот или</w:t>
            </w:r>
          </w:p>
          <w:p w:rsidR="00C219CE" w:rsidRPr="00A65692" w:rsidRDefault="00C219CE" w:rsidP="005C4F6C">
            <w:pPr>
              <w:ind w:left="62"/>
              <w:jc w:val="both"/>
              <w:rPr>
                <w:sz w:val="22"/>
                <w:szCs w:val="22"/>
              </w:rPr>
            </w:pPr>
            <w:r w:rsidRPr="00A65692">
              <w:rPr>
                <w:sz w:val="22"/>
                <w:szCs w:val="22"/>
              </w:rPr>
              <w:t>- од денот кога потрошувачот ги добил условите и информациите од договорот, доколку тој ден е подоцна од денот на склучувањето на договорот.</w:t>
            </w:r>
          </w:p>
          <w:p w:rsidR="00C219CE" w:rsidRPr="00A65692" w:rsidRDefault="00C219CE" w:rsidP="005C4F6C">
            <w:pPr>
              <w:tabs>
                <w:tab w:val="left" w:pos="0"/>
              </w:tabs>
              <w:jc w:val="both"/>
              <w:rPr>
                <w:iCs/>
                <w:color w:val="FF0000"/>
                <w:sz w:val="22"/>
                <w:szCs w:val="22"/>
              </w:rPr>
            </w:pPr>
          </w:p>
          <w:p w:rsidR="00C219CE" w:rsidRPr="00A65692" w:rsidRDefault="00C219CE" w:rsidP="005C4F6C">
            <w:pPr>
              <w:ind w:left="62"/>
              <w:jc w:val="both"/>
              <w:rPr>
                <w:sz w:val="22"/>
                <w:szCs w:val="22"/>
              </w:rPr>
            </w:pPr>
            <w:r w:rsidRPr="00A65692">
              <w:rPr>
                <w:sz w:val="22"/>
                <w:szCs w:val="22"/>
              </w:rPr>
              <w:t>Доколу потрошувачот го искористи правото на откажување од договорот за кредит, треба:</w:t>
            </w:r>
          </w:p>
          <w:p w:rsidR="00C219CE" w:rsidRPr="00A65692" w:rsidRDefault="00C219CE" w:rsidP="005C4F6C">
            <w:pPr>
              <w:ind w:left="62"/>
              <w:jc w:val="both"/>
              <w:rPr>
                <w:sz w:val="22"/>
                <w:szCs w:val="22"/>
              </w:rPr>
            </w:pPr>
            <w:r w:rsidRPr="00A65692">
              <w:rPr>
                <w:sz w:val="22"/>
                <w:szCs w:val="22"/>
              </w:rPr>
              <w:t>- да го извести кредиторот во писмена форма за откажување на договорот за кредит, пред истекот на рокот од 14 дена и</w:t>
            </w:r>
          </w:p>
          <w:p w:rsidR="00C219CE" w:rsidRPr="00A65692" w:rsidRDefault="00C219CE" w:rsidP="005C4F6C">
            <w:pPr>
              <w:ind w:left="62"/>
              <w:jc w:val="both"/>
              <w:rPr>
                <w:sz w:val="22"/>
                <w:szCs w:val="22"/>
              </w:rPr>
            </w:pPr>
            <w:r w:rsidRPr="00A65692">
              <w:rPr>
                <w:sz w:val="22"/>
                <w:szCs w:val="22"/>
              </w:rPr>
              <w:t>- да ја плати главнината и каматата за периодот од искористувањето на кредитот до денот на плаќање на главнината, веднаш но не подоцна од 30 дена од денот на известувањето на кредиторот за откажувањето од кредитот. Каматата се пресметува врз основа на договорената каматна стапка. Кредиторот има право на надоместок на неповратните трошоци платени во врска со договорот за кредит кон јавни или државни органи.</w:t>
            </w:r>
          </w:p>
          <w:p w:rsidR="00C219CE" w:rsidRPr="00A65692" w:rsidRDefault="00C219CE" w:rsidP="005C4F6C">
            <w:pPr>
              <w:ind w:left="62"/>
              <w:jc w:val="both"/>
              <w:rPr>
                <w:sz w:val="22"/>
                <w:szCs w:val="22"/>
              </w:rPr>
            </w:pPr>
          </w:p>
          <w:p w:rsidR="00C219CE" w:rsidRPr="00A65692" w:rsidRDefault="00C219CE" w:rsidP="005C4F6C">
            <w:pPr>
              <w:ind w:left="62"/>
              <w:jc w:val="both"/>
              <w:rPr>
                <w:sz w:val="22"/>
                <w:szCs w:val="22"/>
              </w:rPr>
            </w:pPr>
            <w:r w:rsidRPr="00A65692">
              <w:rPr>
                <w:sz w:val="22"/>
                <w:szCs w:val="22"/>
              </w:rPr>
              <w:t>Доколку кредиторот или трета страна, врз основа на договор за дополнителни услуги, даваат дополнителни услуги во врска со договорот за кредит, потрошувачот не е обврзан со таквиот договор, ако го искористил своето право на откажување од договорот за кредит.</w:t>
            </w:r>
          </w:p>
          <w:p w:rsidR="0044428D" w:rsidRPr="00A65692" w:rsidRDefault="0044428D" w:rsidP="005C4F6C">
            <w:pPr>
              <w:spacing w:after="756"/>
              <w:jc w:val="both"/>
              <w:rPr>
                <w:i/>
                <w:iCs/>
                <w:sz w:val="22"/>
                <w:szCs w:val="22"/>
              </w:rPr>
            </w:pPr>
          </w:p>
        </w:tc>
      </w:tr>
      <w:tr w:rsidR="0044428D" w:rsidRPr="00A65692" w:rsidTr="00B81EA5">
        <w:trPr>
          <w:trHeight w:hRule="exact" w:val="1751"/>
        </w:trPr>
        <w:tc>
          <w:tcPr>
            <w:tcW w:w="5242" w:type="dxa"/>
            <w:tcBorders>
              <w:top w:val="single" w:sz="2" w:space="0" w:color="auto"/>
              <w:left w:val="single" w:sz="2" w:space="0" w:color="auto"/>
              <w:bottom w:val="single" w:sz="2" w:space="0" w:color="auto"/>
              <w:right w:val="single" w:sz="2" w:space="0" w:color="auto"/>
            </w:tcBorders>
            <w:vAlign w:val="center"/>
          </w:tcPr>
          <w:p w:rsidR="00450E53" w:rsidRPr="00A65692" w:rsidRDefault="00450E53" w:rsidP="00450E53">
            <w:pPr>
              <w:rPr>
                <w:sz w:val="22"/>
                <w:szCs w:val="22"/>
              </w:rPr>
            </w:pPr>
            <w:r w:rsidRPr="00A65692">
              <w:rPr>
                <w:sz w:val="22"/>
                <w:szCs w:val="22"/>
              </w:rPr>
              <w:t>Имате право на целосна или делумна предвремена отплата на кредитот, а кредиторот</w:t>
            </w:r>
            <w:r w:rsidRPr="00A65692">
              <w:rPr>
                <w:iCs/>
                <w:sz w:val="22"/>
                <w:szCs w:val="22"/>
              </w:rPr>
              <w:t>/кредитниот посредник</w:t>
            </w:r>
            <w:r w:rsidRPr="00A65692">
              <w:rPr>
                <w:sz w:val="22"/>
                <w:szCs w:val="22"/>
              </w:rPr>
              <w:t xml:space="preserve"> е должен да ви ја соопшти висината на </w:t>
            </w:r>
          </w:p>
          <w:p w:rsidR="00450E53" w:rsidRPr="00A65692" w:rsidRDefault="00450E53" w:rsidP="00450E53">
            <w:pPr>
              <w:rPr>
                <w:b/>
                <w:bCs/>
                <w:sz w:val="22"/>
                <w:szCs w:val="22"/>
              </w:rPr>
            </w:pPr>
            <w:r w:rsidRPr="00A65692">
              <w:rPr>
                <w:sz w:val="22"/>
                <w:szCs w:val="22"/>
              </w:rPr>
              <w:t>надоместокот кој треба да го платите и начинот на неговото одредување</w:t>
            </w:r>
          </w:p>
          <w:p w:rsidR="0044428D" w:rsidRPr="00A65692" w:rsidRDefault="0044428D" w:rsidP="003E38E1">
            <w:pPr>
              <w:ind w:left="62"/>
              <w:rPr>
                <w:sz w:val="22"/>
                <w:szCs w:val="22"/>
              </w:rPr>
            </w:pPr>
          </w:p>
        </w:tc>
        <w:tc>
          <w:tcPr>
            <w:tcW w:w="4382" w:type="dxa"/>
            <w:tcBorders>
              <w:top w:val="single" w:sz="2" w:space="0" w:color="auto"/>
              <w:left w:val="single" w:sz="2" w:space="0" w:color="auto"/>
              <w:bottom w:val="single" w:sz="2" w:space="0" w:color="auto"/>
              <w:right w:val="single" w:sz="2" w:space="0" w:color="auto"/>
            </w:tcBorders>
            <w:vAlign w:val="center"/>
          </w:tcPr>
          <w:p w:rsidR="0044428D" w:rsidRPr="00A65692" w:rsidRDefault="00EA44C2" w:rsidP="005C4F6C">
            <w:pPr>
              <w:jc w:val="both"/>
              <w:rPr>
                <w:iCs/>
                <w:color w:val="000000"/>
                <w:sz w:val="22"/>
                <w:szCs w:val="22"/>
              </w:rPr>
            </w:pPr>
            <w:r w:rsidRPr="00A65692">
              <w:rPr>
                <w:iCs/>
                <w:color w:val="000000"/>
                <w:sz w:val="22"/>
                <w:szCs w:val="22"/>
              </w:rPr>
              <w:t>Нема надоместок за предвремена отплата</w:t>
            </w:r>
            <w:r w:rsidR="00066E29" w:rsidRPr="00A65692">
              <w:rPr>
                <w:iCs/>
                <w:color w:val="000000"/>
                <w:sz w:val="22"/>
                <w:szCs w:val="22"/>
              </w:rPr>
              <w:t>.</w:t>
            </w:r>
          </w:p>
        </w:tc>
      </w:tr>
      <w:tr w:rsidR="0044428D" w:rsidRPr="00A65692" w:rsidTr="00450E53">
        <w:trPr>
          <w:trHeight w:hRule="exact" w:val="2038"/>
        </w:trPr>
        <w:tc>
          <w:tcPr>
            <w:tcW w:w="5242" w:type="dxa"/>
            <w:tcBorders>
              <w:top w:val="single" w:sz="2" w:space="0" w:color="auto"/>
              <w:left w:val="single" w:sz="2" w:space="0" w:color="auto"/>
              <w:bottom w:val="single" w:sz="2" w:space="0" w:color="auto"/>
              <w:right w:val="single" w:sz="2" w:space="0" w:color="auto"/>
            </w:tcBorders>
            <w:vAlign w:val="center"/>
          </w:tcPr>
          <w:p w:rsidR="00450E53" w:rsidRPr="00A65692" w:rsidRDefault="00450E53" w:rsidP="00450E53">
            <w:pPr>
              <w:rPr>
                <w:sz w:val="22"/>
                <w:szCs w:val="22"/>
              </w:rPr>
            </w:pPr>
            <w:r w:rsidRPr="00A65692">
              <w:rPr>
                <w:sz w:val="22"/>
                <w:szCs w:val="22"/>
              </w:rPr>
              <w:t>Раскинување на договорот за потрошувачки кредит</w:t>
            </w:r>
          </w:p>
          <w:p w:rsidR="00450E53" w:rsidRPr="00A65692" w:rsidRDefault="00450E53" w:rsidP="00450E53">
            <w:pPr>
              <w:rPr>
                <w:sz w:val="22"/>
                <w:szCs w:val="22"/>
              </w:rPr>
            </w:pPr>
          </w:p>
          <w:p w:rsidR="00450E53" w:rsidRPr="00A65692" w:rsidRDefault="00450E53" w:rsidP="00450E53">
            <w:pPr>
              <w:rPr>
                <w:sz w:val="22"/>
                <w:szCs w:val="22"/>
              </w:rPr>
            </w:pPr>
            <w:r w:rsidRPr="00A65692">
              <w:rPr>
                <w:sz w:val="22"/>
                <w:szCs w:val="22"/>
              </w:rPr>
              <w:t>(Кредиторот</w:t>
            </w:r>
            <w:r w:rsidRPr="00A65692">
              <w:rPr>
                <w:iCs/>
                <w:sz w:val="22"/>
                <w:szCs w:val="22"/>
              </w:rPr>
              <w:t>/кредитниот посредник</w:t>
            </w:r>
            <w:r w:rsidRPr="00A65692">
              <w:rPr>
                <w:sz w:val="22"/>
                <w:szCs w:val="22"/>
              </w:rPr>
              <w:t xml:space="preserve">  е должен да ви ги соопшти правото, постапката и условите за раскинување на договорот за потрошувачки кредит)</w:t>
            </w:r>
          </w:p>
          <w:p w:rsidR="0044428D" w:rsidRPr="00A65692" w:rsidRDefault="0044428D" w:rsidP="00F76E07">
            <w:pPr>
              <w:rPr>
                <w:sz w:val="22"/>
                <w:szCs w:val="22"/>
              </w:rPr>
            </w:pPr>
          </w:p>
        </w:tc>
        <w:tc>
          <w:tcPr>
            <w:tcW w:w="4382" w:type="dxa"/>
            <w:tcBorders>
              <w:top w:val="single" w:sz="2" w:space="0" w:color="auto"/>
              <w:left w:val="single" w:sz="2" w:space="0" w:color="auto"/>
              <w:bottom w:val="single" w:sz="2" w:space="0" w:color="auto"/>
              <w:right w:val="single" w:sz="2" w:space="0" w:color="auto"/>
            </w:tcBorders>
            <w:vAlign w:val="center"/>
          </w:tcPr>
          <w:p w:rsidR="0044428D" w:rsidRPr="00A65692" w:rsidRDefault="00066E29" w:rsidP="005C4F6C">
            <w:pPr>
              <w:jc w:val="both"/>
              <w:rPr>
                <w:iCs/>
                <w:sz w:val="22"/>
                <w:szCs w:val="22"/>
              </w:rPr>
            </w:pPr>
            <w:r w:rsidRPr="00A65692">
              <w:rPr>
                <w:sz w:val="22"/>
                <w:szCs w:val="22"/>
                <w:lang w:val="ru-RU"/>
              </w:rPr>
              <w:t xml:space="preserve">За раскинување на овој Договор </w:t>
            </w:r>
            <w:r w:rsidR="00E659B2" w:rsidRPr="00A65692">
              <w:rPr>
                <w:sz w:val="22"/>
                <w:szCs w:val="22"/>
              </w:rPr>
              <w:t>потрошувачот</w:t>
            </w:r>
            <w:r w:rsidRPr="00A65692">
              <w:rPr>
                <w:sz w:val="22"/>
                <w:szCs w:val="22"/>
              </w:rPr>
              <w:t xml:space="preserve"> доставува писмено барање до Банката.</w:t>
            </w:r>
            <w:r w:rsidRPr="00A65692">
              <w:rPr>
                <w:i/>
                <w:iCs/>
                <w:sz w:val="22"/>
                <w:szCs w:val="22"/>
              </w:rPr>
              <w:t xml:space="preserve"> </w:t>
            </w:r>
          </w:p>
        </w:tc>
      </w:tr>
      <w:tr w:rsidR="00A149AB" w:rsidRPr="00A65692" w:rsidTr="00407765">
        <w:trPr>
          <w:trHeight w:hRule="exact" w:val="2038"/>
        </w:trPr>
        <w:tc>
          <w:tcPr>
            <w:tcW w:w="5242" w:type="dxa"/>
            <w:tcBorders>
              <w:top w:val="single" w:sz="2" w:space="0" w:color="auto"/>
              <w:left w:val="single" w:sz="2" w:space="0" w:color="auto"/>
              <w:bottom w:val="single" w:sz="2" w:space="0" w:color="auto"/>
              <w:right w:val="single" w:sz="2" w:space="0" w:color="auto"/>
            </w:tcBorders>
          </w:tcPr>
          <w:p w:rsidR="00A149AB" w:rsidRPr="00A65692" w:rsidRDefault="008E0087" w:rsidP="00450E53">
            <w:pPr>
              <w:rPr>
                <w:iCs/>
                <w:sz w:val="22"/>
                <w:szCs w:val="22"/>
              </w:rPr>
            </w:pPr>
            <w:r w:rsidRPr="00A65692">
              <w:rPr>
                <w:iCs/>
                <w:sz w:val="22"/>
                <w:szCs w:val="22"/>
              </w:rPr>
              <w:lastRenderedPageBreak/>
              <w:t xml:space="preserve">  </w:t>
            </w:r>
            <w:r w:rsidR="00A149AB" w:rsidRPr="00A65692">
              <w:rPr>
                <w:iCs/>
                <w:sz w:val="22"/>
                <w:szCs w:val="22"/>
              </w:rPr>
              <w:t>Прекин на ризико осигурување</w:t>
            </w:r>
          </w:p>
        </w:tc>
        <w:tc>
          <w:tcPr>
            <w:tcW w:w="4382" w:type="dxa"/>
            <w:tcBorders>
              <w:top w:val="single" w:sz="2" w:space="0" w:color="auto"/>
              <w:left w:val="single" w:sz="2" w:space="0" w:color="auto"/>
              <w:bottom w:val="single" w:sz="2" w:space="0" w:color="auto"/>
              <w:right w:val="single" w:sz="2" w:space="0" w:color="auto"/>
            </w:tcBorders>
          </w:tcPr>
          <w:p w:rsidR="00A149AB" w:rsidRPr="00A65692" w:rsidRDefault="00A149AB" w:rsidP="00A149AB">
            <w:pPr>
              <w:jc w:val="both"/>
              <w:rPr>
                <w:iCs/>
                <w:sz w:val="22"/>
                <w:szCs w:val="22"/>
              </w:rPr>
            </w:pPr>
            <w:r w:rsidRPr="00A65692">
              <w:rPr>
                <w:iCs/>
                <w:sz w:val="22"/>
                <w:szCs w:val="22"/>
              </w:rPr>
              <w:t>Кредитокорисникот има право да побара прекин на осигурувањето со доставување на писмено барање до БАНКАТА. Прекинот на осигурувањето е со наредната пролонгација на Договорот за дозволено пречекорување.</w:t>
            </w:r>
          </w:p>
        </w:tc>
      </w:tr>
      <w:tr w:rsidR="00AD0FF8" w:rsidRPr="00A65692" w:rsidTr="00450E53">
        <w:trPr>
          <w:trHeight w:hRule="exact" w:val="2837"/>
        </w:trPr>
        <w:tc>
          <w:tcPr>
            <w:tcW w:w="5242" w:type="dxa"/>
            <w:tcBorders>
              <w:top w:val="single" w:sz="2" w:space="0" w:color="auto"/>
              <w:left w:val="single" w:sz="2" w:space="0" w:color="auto"/>
              <w:bottom w:val="single" w:sz="2" w:space="0" w:color="auto"/>
              <w:right w:val="single" w:sz="2" w:space="0" w:color="auto"/>
            </w:tcBorders>
          </w:tcPr>
          <w:p w:rsidR="00450E53" w:rsidRPr="00A65692" w:rsidRDefault="00450E53" w:rsidP="00450E53">
            <w:pPr>
              <w:rPr>
                <w:iCs/>
                <w:sz w:val="22"/>
                <w:szCs w:val="22"/>
              </w:rPr>
            </w:pPr>
            <w:r w:rsidRPr="00A65692">
              <w:rPr>
                <w:iCs/>
                <w:sz w:val="22"/>
                <w:szCs w:val="22"/>
              </w:rPr>
              <w:t>Ако по поднесеното барање за кредит, барањето се одбие заради добиените информации од бази на податоци,</w:t>
            </w:r>
            <w:r w:rsidRPr="00A65692">
              <w:rPr>
                <w:iCs/>
                <w:sz w:val="22"/>
                <w:szCs w:val="22"/>
                <w:u w:val="single"/>
              </w:rPr>
              <w:t xml:space="preserve"> имате право,</w:t>
            </w:r>
            <w:r w:rsidRPr="00A65692">
              <w:rPr>
                <w:iCs/>
                <w:sz w:val="22"/>
                <w:szCs w:val="22"/>
              </w:rPr>
              <w:t xml:space="preserve"> кредиторот, односно кредитниот посредник веднаш и бесплатно да ве информира за тие информации и за начинот на кој ги прибавил информациите. Овие информации се даваат во сите случаи, освен ако давањето на информациите е забрането со закон.  </w:t>
            </w:r>
          </w:p>
          <w:p w:rsidR="00AD0FF8" w:rsidRPr="00A65692" w:rsidRDefault="00AD0FF8" w:rsidP="003E38E1">
            <w:pPr>
              <w:rPr>
                <w:sz w:val="22"/>
                <w:szCs w:val="22"/>
              </w:rPr>
            </w:pPr>
          </w:p>
        </w:tc>
        <w:tc>
          <w:tcPr>
            <w:tcW w:w="4382" w:type="dxa"/>
            <w:tcBorders>
              <w:top w:val="single" w:sz="2" w:space="0" w:color="auto"/>
              <w:left w:val="single" w:sz="2" w:space="0" w:color="auto"/>
              <w:bottom w:val="single" w:sz="2" w:space="0" w:color="auto"/>
              <w:right w:val="single" w:sz="2" w:space="0" w:color="auto"/>
            </w:tcBorders>
            <w:vAlign w:val="center"/>
          </w:tcPr>
          <w:p w:rsidR="00AD0FF8" w:rsidRPr="00A65692" w:rsidRDefault="00AD0FF8" w:rsidP="005C4F6C">
            <w:pPr>
              <w:jc w:val="both"/>
              <w:rPr>
                <w:iCs/>
                <w:color w:val="FF0000"/>
                <w:sz w:val="22"/>
                <w:szCs w:val="22"/>
              </w:rPr>
            </w:pPr>
            <w:r w:rsidRPr="00A65692">
              <w:rPr>
                <w:iCs/>
                <w:sz w:val="22"/>
                <w:szCs w:val="22"/>
              </w:rPr>
              <w:t>Во случај барањето за кредит да е одбиено врз основа на податоци добиени од базите на податоци на Р.</w:t>
            </w:r>
            <w:r w:rsidR="00B04C8C">
              <w:rPr>
                <w:iCs/>
                <w:sz w:val="22"/>
                <w:szCs w:val="22"/>
              </w:rPr>
              <w:t xml:space="preserve">С. </w:t>
            </w:r>
            <w:r w:rsidRPr="00A65692">
              <w:rPr>
                <w:iCs/>
                <w:sz w:val="22"/>
                <w:szCs w:val="22"/>
              </w:rPr>
              <w:t>Македонија, Банката доставува известување до потрошувачот за причината</w:t>
            </w:r>
            <w:r w:rsidRPr="00A65692">
              <w:rPr>
                <w:rFonts w:ascii="Calibri" w:hAnsi="Calibri"/>
                <w:bCs/>
                <w:sz w:val="22"/>
                <w:szCs w:val="22"/>
              </w:rPr>
              <w:t>.</w:t>
            </w:r>
          </w:p>
        </w:tc>
      </w:tr>
      <w:tr w:rsidR="00AD0FF8" w:rsidRPr="00A65692" w:rsidTr="00450E53">
        <w:trPr>
          <w:trHeight w:hRule="exact" w:val="2833"/>
        </w:trPr>
        <w:tc>
          <w:tcPr>
            <w:tcW w:w="5242" w:type="dxa"/>
            <w:tcBorders>
              <w:top w:val="single" w:sz="2" w:space="0" w:color="auto"/>
              <w:left w:val="single" w:sz="2" w:space="0" w:color="auto"/>
              <w:bottom w:val="single" w:sz="2" w:space="0" w:color="auto"/>
              <w:right w:val="single" w:sz="2" w:space="0" w:color="auto"/>
            </w:tcBorders>
          </w:tcPr>
          <w:p w:rsidR="00450E53" w:rsidRPr="00A65692" w:rsidRDefault="00450E53" w:rsidP="00450E53">
            <w:pPr>
              <w:rPr>
                <w:sz w:val="22"/>
                <w:szCs w:val="22"/>
              </w:rPr>
            </w:pPr>
            <w:r w:rsidRPr="00A65692">
              <w:rPr>
                <w:sz w:val="22"/>
                <w:szCs w:val="22"/>
              </w:rPr>
              <w:t xml:space="preserve">Право на бесплатна копија од нацрт - договорот за потрошувачки кредит </w:t>
            </w:r>
          </w:p>
          <w:p w:rsidR="00450E53" w:rsidRPr="00A65692" w:rsidRDefault="00450E53" w:rsidP="00450E53">
            <w:pPr>
              <w:tabs>
                <w:tab w:val="left" w:pos="1335"/>
              </w:tabs>
              <w:rPr>
                <w:sz w:val="22"/>
                <w:szCs w:val="22"/>
              </w:rPr>
            </w:pPr>
            <w:r w:rsidRPr="00A65692">
              <w:rPr>
                <w:sz w:val="22"/>
                <w:szCs w:val="22"/>
              </w:rPr>
              <w:tab/>
            </w:r>
          </w:p>
          <w:p w:rsidR="00450E53" w:rsidRPr="00A65692" w:rsidRDefault="00450E53" w:rsidP="00450E53">
            <w:pPr>
              <w:rPr>
                <w:iCs/>
                <w:sz w:val="22"/>
                <w:szCs w:val="22"/>
              </w:rPr>
            </w:pPr>
            <w:r w:rsidRPr="00A65692">
              <w:rPr>
                <w:iCs/>
                <w:sz w:val="22"/>
                <w:szCs w:val="22"/>
              </w:rPr>
              <w:t>(Имате право, на ваше барање, бесплатно да добиете копија од нацрт - договорот за потрошувачки кредит. Нема да се достави нацрт - договор доколку кредиторот/кредитниот посредник  во време на поднесувањето на барањето не сака да пристапи кон склучување на договорот за потрошувачки кредит)</w:t>
            </w:r>
          </w:p>
          <w:p w:rsidR="00AD0FF8" w:rsidRPr="00A65692" w:rsidRDefault="00AD0FF8" w:rsidP="003E38E1">
            <w:pPr>
              <w:rPr>
                <w:sz w:val="22"/>
                <w:szCs w:val="22"/>
              </w:rPr>
            </w:pPr>
          </w:p>
        </w:tc>
        <w:tc>
          <w:tcPr>
            <w:tcW w:w="4382" w:type="dxa"/>
            <w:tcBorders>
              <w:top w:val="single" w:sz="2" w:space="0" w:color="auto"/>
              <w:left w:val="single" w:sz="2" w:space="0" w:color="auto"/>
              <w:bottom w:val="single" w:sz="2" w:space="0" w:color="auto"/>
              <w:right w:val="single" w:sz="2" w:space="0" w:color="auto"/>
            </w:tcBorders>
            <w:vAlign w:val="center"/>
          </w:tcPr>
          <w:p w:rsidR="00AD0FF8" w:rsidRPr="00A65692" w:rsidRDefault="004B4FAE" w:rsidP="005C4F6C">
            <w:pPr>
              <w:jc w:val="both"/>
              <w:rPr>
                <w:iCs/>
                <w:color w:val="FF0000"/>
                <w:sz w:val="22"/>
                <w:szCs w:val="22"/>
              </w:rPr>
            </w:pPr>
            <w:r w:rsidRPr="00A65692">
              <w:rPr>
                <w:sz w:val="22"/>
                <w:szCs w:val="22"/>
              </w:rPr>
              <w:t>Банката на барање на потрошувачот, бесплатно му доставува пример од копија од предлог - договорот за потрошувачки кредит. Нема да се достави предлог - договор доколку Банката за време на поднесувањето на барањето не сака да пристапи кон склучување на договорот за потрошувачки кредит.</w:t>
            </w:r>
          </w:p>
        </w:tc>
      </w:tr>
      <w:tr w:rsidR="00AD0FF8" w:rsidRPr="00A65692" w:rsidTr="00450E53">
        <w:trPr>
          <w:trHeight w:hRule="exact" w:val="1711"/>
        </w:trPr>
        <w:tc>
          <w:tcPr>
            <w:tcW w:w="5242" w:type="dxa"/>
            <w:tcBorders>
              <w:top w:val="single" w:sz="2" w:space="0" w:color="auto"/>
              <w:left w:val="single" w:sz="2" w:space="0" w:color="auto"/>
              <w:bottom w:val="single" w:sz="2" w:space="0" w:color="auto"/>
              <w:right w:val="single" w:sz="2" w:space="0" w:color="auto"/>
            </w:tcBorders>
            <w:vAlign w:val="center"/>
          </w:tcPr>
          <w:p w:rsidR="00450E53" w:rsidRPr="00A65692" w:rsidRDefault="00450E53" w:rsidP="00450E53">
            <w:pPr>
              <w:rPr>
                <w:sz w:val="22"/>
                <w:szCs w:val="22"/>
              </w:rPr>
            </w:pPr>
            <w:r w:rsidRPr="00A65692">
              <w:rPr>
                <w:sz w:val="22"/>
                <w:szCs w:val="22"/>
              </w:rPr>
              <w:t xml:space="preserve">Рок во кој кредиторот, односно кредитниот посредник е обврзан со преддоговорните информации, доколку е применливо. </w:t>
            </w:r>
          </w:p>
          <w:p w:rsidR="00450E53" w:rsidRPr="00A65692" w:rsidRDefault="00450E53" w:rsidP="00450E53">
            <w:pPr>
              <w:rPr>
                <w:sz w:val="22"/>
                <w:szCs w:val="22"/>
              </w:rPr>
            </w:pPr>
          </w:p>
          <w:p w:rsidR="00AD0FF8" w:rsidRPr="00A65692" w:rsidRDefault="00AD0FF8" w:rsidP="00F76E07">
            <w:pPr>
              <w:rPr>
                <w:sz w:val="22"/>
                <w:szCs w:val="22"/>
              </w:rPr>
            </w:pPr>
          </w:p>
        </w:tc>
        <w:tc>
          <w:tcPr>
            <w:tcW w:w="4382" w:type="dxa"/>
            <w:tcBorders>
              <w:top w:val="single" w:sz="2" w:space="0" w:color="auto"/>
              <w:left w:val="single" w:sz="2" w:space="0" w:color="auto"/>
              <w:bottom w:val="single" w:sz="2" w:space="0" w:color="auto"/>
              <w:right w:val="single" w:sz="2" w:space="0" w:color="auto"/>
            </w:tcBorders>
            <w:vAlign w:val="center"/>
          </w:tcPr>
          <w:p w:rsidR="00450E53" w:rsidRPr="00A65692" w:rsidRDefault="00450E53" w:rsidP="00995013">
            <w:pPr>
              <w:jc w:val="both"/>
              <w:rPr>
                <w:sz w:val="22"/>
                <w:szCs w:val="22"/>
              </w:rPr>
            </w:pPr>
            <w:r w:rsidRPr="00A65692">
              <w:rPr>
                <w:sz w:val="22"/>
                <w:szCs w:val="22"/>
              </w:rPr>
              <w:t>Информациите дадени во формуларот можат да се променат во согласност со позитивните законски прописи, актите на деловната политика, како и врз основ на спроведената анализа на кредитната способност на клиентот.</w:t>
            </w:r>
          </w:p>
          <w:p w:rsidR="00450E53" w:rsidRPr="00A65692" w:rsidRDefault="00450E53" w:rsidP="005C4F6C">
            <w:pPr>
              <w:jc w:val="both"/>
              <w:rPr>
                <w:iCs/>
                <w:color w:val="FF0000"/>
                <w:sz w:val="22"/>
                <w:szCs w:val="22"/>
              </w:rPr>
            </w:pPr>
          </w:p>
        </w:tc>
      </w:tr>
    </w:tbl>
    <w:p w:rsidR="00C57007" w:rsidRPr="00A65692" w:rsidRDefault="00C57007" w:rsidP="00BF3C99">
      <w:pPr>
        <w:ind w:left="432"/>
        <w:rPr>
          <w:sz w:val="22"/>
          <w:szCs w:val="22"/>
        </w:rPr>
      </w:pPr>
    </w:p>
    <w:p w:rsidR="00C57007" w:rsidRPr="00A65692" w:rsidRDefault="00C57007" w:rsidP="00BF3C99">
      <w:pPr>
        <w:ind w:left="432"/>
        <w:rPr>
          <w:sz w:val="22"/>
          <w:szCs w:val="22"/>
        </w:rPr>
      </w:pPr>
    </w:p>
    <w:p w:rsidR="00587341" w:rsidRPr="00A65692" w:rsidRDefault="00587341" w:rsidP="00587341">
      <w:pPr>
        <w:tabs>
          <w:tab w:val="left" w:pos="0"/>
          <w:tab w:val="left" w:pos="1418"/>
          <w:tab w:val="left" w:pos="1985"/>
        </w:tabs>
        <w:spacing w:line="248" w:lineRule="atLeast"/>
        <w:rPr>
          <w:sz w:val="22"/>
          <w:szCs w:val="22"/>
        </w:rPr>
      </w:pPr>
    </w:p>
    <w:p w:rsidR="00587341" w:rsidRPr="00467D8D" w:rsidRDefault="00587341" w:rsidP="00587341">
      <w:pPr>
        <w:tabs>
          <w:tab w:val="left" w:pos="0"/>
          <w:tab w:val="left" w:pos="1418"/>
          <w:tab w:val="left" w:pos="1985"/>
        </w:tabs>
        <w:spacing w:line="248" w:lineRule="atLeast"/>
        <w:rPr>
          <w:sz w:val="22"/>
          <w:szCs w:val="22"/>
        </w:rPr>
      </w:pPr>
      <w:r w:rsidRPr="00A65692">
        <w:rPr>
          <w:sz w:val="22"/>
          <w:szCs w:val="22"/>
        </w:rPr>
        <w:t>Дата на предавање на формуларот: __________</w:t>
      </w:r>
    </w:p>
    <w:p w:rsidR="00587341" w:rsidRPr="00467D8D" w:rsidRDefault="00587341" w:rsidP="00587341">
      <w:pPr>
        <w:tabs>
          <w:tab w:val="left" w:pos="0"/>
          <w:tab w:val="left" w:pos="1418"/>
          <w:tab w:val="left" w:pos="1985"/>
        </w:tabs>
        <w:spacing w:line="248" w:lineRule="atLeast"/>
        <w:rPr>
          <w:sz w:val="22"/>
          <w:szCs w:val="22"/>
        </w:rPr>
      </w:pPr>
    </w:p>
    <w:p w:rsidR="00BF3C99" w:rsidRPr="00467D8D" w:rsidRDefault="00BF3C99" w:rsidP="00BF3C99">
      <w:pPr>
        <w:ind w:left="432"/>
        <w:rPr>
          <w:sz w:val="22"/>
          <w:szCs w:val="22"/>
        </w:rPr>
      </w:pPr>
    </w:p>
    <w:sectPr w:rsidR="00BF3C99" w:rsidRPr="00467D8D" w:rsidSect="00DC6C6C">
      <w:headerReference w:type="even" r:id="rId8"/>
      <w:headerReference w:type="default" r:id="rId9"/>
      <w:footerReference w:type="even" r:id="rId10"/>
      <w:footerReference w:type="default" r:id="rId11"/>
      <w:headerReference w:type="first" r:id="rId12"/>
      <w:footerReference w:type="first" r:id="rId13"/>
      <w:pgSz w:w="11906" w:h="16838"/>
      <w:pgMar w:top="270" w:right="849" w:bottom="9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29" w:rsidRDefault="00777E29">
      <w:r>
        <w:separator/>
      </w:r>
    </w:p>
  </w:endnote>
  <w:endnote w:type="continuationSeparator" w:id="0">
    <w:p w:rsidR="00777E29" w:rsidRDefault="0077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Bold"/>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46" w:rsidRDefault="005A1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2" w:rsidRDefault="00E82A32">
    <w:pPr>
      <w:pStyle w:val="Footer"/>
      <w:jc w:val="right"/>
    </w:pPr>
    <w:r>
      <w:t xml:space="preserve">стр </w:t>
    </w:r>
    <w:r>
      <w:rPr>
        <w:b/>
      </w:rPr>
      <w:fldChar w:fldCharType="begin"/>
    </w:r>
    <w:r>
      <w:rPr>
        <w:b/>
      </w:rPr>
      <w:instrText xml:space="preserve"> PAGE </w:instrText>
    </w:r>
    <w:r>
      <w:rPr>
        <w:b/>
      </w:rPr>
      <w:fldChar w:fldCharType="separate"/>
    </w:r>
    <w:r w:rsidR="00F707ED">
      <w:rPr>
        <w:b/>
        <w:noProof/>
      </w:rPr>
      <w:t>6</w:t>
    </w:r>
    <w:r>
      <w:rPr>
        <w:b/>
      </w:rPr>
      <w:fldChar w:fldCharType="end"/>
    </w:r>
    <w:r>
      <w:t xml:space="preserve"> од </w:t>
    </w:r>
    <w:r>
      <w:rPr>
        <w:b/>
      </w:rPr>
      <w:fldChar w:fldCharType="begin"/>
    </w:r>
    <w:r>
      <w:rPr>
        <w:b/>
      </w:rPr>
      <w:instrText xml:space="preserve"> NUMPAGES  </w:instrText>
    </w:r>
    <w:r>
      <w:rPr>
        <w:b/>
      </w:rPr>
      <w:fldChar w:fldCharType="separate"/>
    </w:r>
    <w:r w:rsidR="00F707ED">
      <w:rPr>
        <w:b/>
        <w:noProof/>
      </w:rPr>
      <w:t>6</w:t>
    </w:r>
    <w:r>
      <w:rPr>
        <w:b/>
      </w:rPr>
      <w:fldChar w:fldCharType="end"/>
    </w:r>
  </w:p>
  <w:p w:rsidR="00E82A32" w:rsidRPr="00790C2B" w:rsidRDefault="009B4F45" w:rsidP="009B4F45">
    <w:pPr>
      <w:pStyle w:val="Footer"/>
      <w:rPr>
        <w:sz w:val="20"/>
        <w:szCs w:val="20"/>
        <w:lang w:val="en-US"/>
      </w:rPr>
    </w:pPr>
    <w:r w:rsidRPr="009B4F45">
      <w:rPr>
        <w:sz w:val="20"/>
        <w:szCs w:val="20"/>
      </w:rPr>
      <w:t>ЗП 7.5.1 БН-904/</w:t>
    </w:r>
    <w:r>
      <w:rPr>
        <w:sz w:val="20"/>
        <w:szCs w:val="20"/>
        <w:lang w:val="en-US"/>
      </w:rPr>
      <w:t>0</w:t>
    </w:r>
    <w:r w:rsidRPr="009B4F45">
      <w:rPr>
        <w:sz w:val="20"/>
        <w:szCs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46" w:rsidRDefault="005A1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29" w:rsidRDefault="00777E29">
      <w:r>
        <w:separator/>
      </w:r>
    </w:p>
  </w:footnote>
  <w:footnote w:type="continuationSeparator" w:id="0">
    <w:p w:rsidR="00777E29" w:rsidRDefault="0077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46" w:rsidRDefault="005A1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A32" w:rsidRDefault="00243673" w:rsidP="00DC6C6C">
    <w:pPr>
      <w:pStyle w:val="Header"/>
      <w:jc w:val="right"/>
      <w:rPr>
        <w:lang w:val="en-US"/>
      </w:rPr>
    </w:pPr>
    <w:r w:rsidRPr="00345AE6">
      <w:rPr>
        <w:noProof/>
      </w:rPr>
      <w:drawing>
        <wp:inline distT="0" distB="0" distL="0" distR="0">
          <wp:extent cx="1316355" cy="391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391160"/>
                  </a:xfrm>
                  <a:prstGeom prst="rect">
                    <a:avLst/>
                  </a:prstGeom>
                  <a:noFill/>
                  <a:ln>
                    <a:noFill/>
                  </a:ln>
                </pic:spPr>
              </pic:pic>
            </a:graphicData>
          </a:graphic>
        </wp:inline>
      </w:drawing>
    </w:r>
  </w:p>
  <w:p w:rsidR="00E82A32" w:rsidRPr="00DC6C6C" w:rsidRDefault="00E82A32" w:rsidP="00DC6C6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46" w:rsidRDefault="005A1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7442"/>
    <w:multiLevelType w:val="hybridMultilevel"/>
    <w:tmpl w:val="C3A8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7190E"/>
    <w:multiLevelType w:val="singleLevel"/>
    <w:tmpl w:val="0658EB6E"/>
    <w:lvl w:ilvl="0">
      <w:start w:val="1"/>
      <w:numFmt w:val="decimal"/>
      <w:lvlText w:val="%1."/>
      <w:lvlJc w:val="left"/>
      <w:pPr>
        <w:tabs>
          <w:tab w:val="num" w:pos="1008"/>
        </w:tabs>
        <w:ind w:firstLine="720"/>
      </w:pPr>
      <w:rPr>
        <w:rFonts w:cs="Times New Roman"/>
        <w:color w:val="000000"/>
      </w:rPr>
    </w:lvl>
  </w:abstractNum>
  <w:abstractNum w:abstractNumId="2">
    <w:nsid w:val="1C5FA3E6"/>
    <w:multiLevelType w:val="singleLevel"/>
    <w:tmpl w:val="6E248E45"/>
    <w:lvl w:ilvl="0">
      <w:start w:val="5"/>
      <w:numFmt w:val="decimal"/>
      <w:lvlText w:val="%1."/>
      <w:lvlJc w:val="left"/>
      <w:pPr>
        <w:tabs>
          <w:tab w:val="num" w:pos="1008"/>
        </w:tabs>
        <w:ind w:firstLine="720"/>
      </w:pPr>
      <w:rPr>
        <w:rFonts w:cs="Times New Roman"/>
        <w:color w:val="000000"/>
      </w:rPr>
    </w:lvl>
  </w:abstractNum>
  <w:abstractNum w:abstractNumId="3">
    <w:nsid w:val="1FF95D69"/>
    <w:multiLevelType w:val="hybridMultilevel"/>
    <w:tmpl w:val="3E360A5C"/>
    <w:lvl w:ilvl="0" w:tplc="AF96BDD8">
      <w:start w:val="1"/>
      <w:numFmt w:val="bullet"/>
      <w:lvlText w:val=""/>
      <w:lvlJc w:val="left"/>
      <w:pPr>
        <w:ind w:left="990" w:hanging="360"/>
      </w:pPr>
      <w:rPr>
        <w:rFonts w:ascii="Symbol" w:hAnsi="Symbol"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4">
    <w:nsid w:val="20DE2D30"/>
    <w:multiLevelType w:val="hybridMultilevel"/>
    <w:tmpl w:val="E5EC20A8"/>
    <w:lvl w:ilvl="0" w:tplc="58AC41D4">
      <w:numFmt w:val="bullet"/>
      <w:lvlText w:val="-"/>
      <w:lvlJc w:val="left"/>
      <w:pPr>
        <w:ind w:left="780" w:hanging="360"/>
      </w:pPr>
      <w:rPr>
        <w:rFonts w:ascii="Times New Roman" w:eastAsia="Times New Roman" w:hAnsi="Times New Roman" w:cs="Times New Roman" w:hint="default"/>
      </w:rPr>
    </w:lvl>
    <w:lvl w:ilvl="1" w:tplc="042F0003" w:tentative="1">
      <w:start w:val="1"/>
      <w:numFmt w:val="bullet"/>
      <w:lvlText w:val="o"/>
      <w:lvlJc w:val="left"/>
      <w:pPr>
        <w:ind w:left="1500" w:hanging="360"/>
      </w:pPr>
      <w:rPr>
        <w:rFonts w:ascii="Courier New" w:hAnsi="Courier New" w:cs="Courier New" w:hint="default"/>
      </w:rPr>
    </w:lvl>
    <w:lvl w:ilvl="2" w:tplc="042F0005" w:tentative="1">
      <w:start w:val="1"/>
      <w:numFmt w:val="bullet"/>
      <w:lvlText w:val=""/>
      <w:lvlJc w:val="left"/>
      <w:pPr>
        <w:ind w:left="2220" w:hanging="360"/>
      </w:pPr>
      <w:rPr>
        <w:rFonts w:ascii="Wingdings" w:hAnsi="Wingdings" w:hint="default"/>
      </w:rPr>
    </w:lvl>
    <w:lvl w:ilvl="3" w:tplc="042F0001" w:tentative="1">
      <w:start w:val="1"/>
      <w:numFmt w:val="bullet"/>
      <w:lvlText w:val=""/>
      <w:lvlJc w:val="left"/>
      <w:pPr>
        <w:ind w:left="2940" w:hanging="360"/>
      </w:pPr>
      <w:rPr>
        <w:rFonts w:ascii="Symbol" w:hAnsi="Symbol" w:hint="default"/>
      </w:rPr>
    </w:lvl>
    <w:lvl w:ilvl="4" w:tplc="042F0003" w:tentative="1">
      <w:start w:val="1"/>
      <w:numFmt w:val="bullet"/>
      <w:lvlText w:val="o"/>
      <w:lvlJc w:val="left"/>
      <w:pPr>
        <w:ind w:left="3660" w:hanging="360"/>
      </w:pPr>
      <w:rPr>
        <w:rFonts w:ascii="Courier New" w:hAnsi="Courier New" w:cs="Courier New" w:hint="default"/>
      </w:rPr>
    </w:lvl>
    <w:lvl w:ilvl="5" w:tplc="042F0005" w:tentative="1">
      <w:start w:val="1"/>
      <w:numFmt w:val="bullet"/>
      <w:lvlText w:val=""/>
      <w:lvlJc w:val="left"/>
      <w:pPr>
        <w:ind w:left="4380" w:hanging="360"/>
      </w:pPr>
      <w:rPr>
        <w:rFonts w:ascii="Wingdings" w:hAnsi="Wingdings" w:hint="default"/>
      </w:rPr>
    </w:lvl>
    <w:lvl w:ilvl="6" w:tplc="042F0001" w:tentative="1">
      <w:start w:val="1"/>
      <w:numFmt w:val="bullet"/>
      <w:lvlText w:val=""/>
      <w:lvlJc w:val="left"/>
      <w:pPr>
        <w:ind w:left="5100" w:hanging="360"/>
      </w:pPr>
      <w:rPr>
        <w:rFonts w:ascii="Symbol" w:hAnsi="Symbol" w:hint="default"/>
      </w:rPr>
    </w:lvl>
    <w:lvl w:ilvl="7" w:tplc="042F0003" w:tentative="1">
      <w:start w:val="1"/>
      <w:numFmt w:val="bullet"/>
      <w:lvlText w:val="o"/>
      <w:lvlJc w:val="left"/>
      <w:pPr>
        <w:ind w:left="5820" w:hanging="360"/>
      </w:pPr>
      <w:rPr>
        <w:rFonts w:ascii="Courier New" w:hAnsi="Courier New" w:cs="Courier New" w:hint="default"/>
      </w:rPr>
    </w:lvl>
    <w:lvl w:ilvl="8" w:tplc="042F0005" w:tentative="1">
      <w:start w:val="1"/>
      <w:numFmt w:val="bullet"/>
      <w:lvlText w:val=""/>
      <w:lvlJc w:val="left"/>
      <w:pPr>
        <w:ind w:left="6540" w:hanging="360"/>
      </w:pPr>
      <w:rPr>
        <w:rFonts w:ascii="Wingdings" w:hAnsi="Wingdings" w:hint="default"/>
      </w:rPr>
    </w:lvl>
  </w:abstractNum>
  <w:abstractNum w:abstractNumId="5">
    <w:nsid w:val="294BE2EC"/>
    <w:multiLevelType w:val="singleLevel"/>
    <w:tmpl w:val="702599A5"/>
    <w:lvl w:ilvl="0">
      <w:start w:val="1"/>
      <w:numFmt w:val="decimal"/>
      <w:lvlText w:val="%1."/>
      <w:lvlJc w:val="left"/>
      <w:pPr>
        <w:tabs>
          <w:tab w:val="num" w:pos="792"/>
        </w:tabs>
        <w:ind w:left="432"/>
      </w:pPr>
      <w:rPr>
        <w:rFonts w:cs="Times New Roman"/>
        <w:color w:val="000000"/>
      </w:rPr>
    </w:lvl>
  </w:abstractNum>
  <w:abstractNum w:abstractNumId="6">
    <w:nsid w:val="38641B01"/>
    <w:multiLevelType w:val="hybridMultilevel"/>
    <w:tmpl w:val="5FE89C4E"/>
    <w:lvl w:ilvl="0" w:tplc="A24E0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106A04"/>
    <w:multiLevelType w:val="hybridMultilevel"/>
    <w:tmpl w:val="5060D924"/>
    <w:lvl w:ilvl="0" w:tplc="A24E0B4A">
      <w:numFmt w:val="bullet"/>
      <w:lvlText w:val="-"/>
      <w:lvlJc w:val="left"/>
      <w:pPr>
        <w:ind w:left="422" w:hanging="360"/>
      </w:pPr>
      <w:rPr>
        <w:rFonts w:ascii="Times New Roman" w:eastAsia="Times New Roman" w:hAnsi="Times New Roman" w:hint="default"/>
      </w:rPr>
    </w:lvl>
    <w:lvl w:ilvl="1" w:tplc="042F0003" w:tentative="1">
      <w:start w:val="1"/>
      <w:numFmt w:val="bullet"/>
      <w:lvlText w:val="o"/>
      <w:lvlJc w:val="left"/>
      <w:pPr>
        <w:ind w:left="1142" w:hanging="360"/>
      </w:pPr>
      <w:rPr>
        <w:rFonts w:ascii="Courier New" w:hAnsi="Courier New" w:hint="default"/>
      </w:rPr>
    </w:lvl>
    <w:lvl w:ilvl="2" w:tplc="042F0005" w:tentative="1">
      <w:start w:val="1"/>
      <w:numFmt w:val="bullet"/>
      <w:lvlText w:val=""/>
      <w:lvlJc w:val="left"/>
      <w:pPr>
        <w:ind w:left="1862" w:hanging="360"/>
      </w:pPr>
      <w:rPr>
        <w:rFonts w:ascii="Wingdings" w:hAnsi="Wingdings" w:hint="default"/>
      </w:rPr>
    </w:lvl>
    <w:lvl w:ilvl="3" w:tplc="042F0001" w:tentative="1">
      <w:start w:val="1"/>
      <w:numFmt w:val="bullet"/>
      <w:lvlText w:val=""/>
      <w:lvlJc w:val="left"/>
      <w:pPr>
        <w:ind w:left="2582" w:hanging="360"/>
      </w:pPr>
      <w:rPr>
        <w:rFonts w:ascii="Symbol" w:hAnsi="Symbol" w:hint="default"/>
      </w:rPr>
    </w:lvl>
    <w:lvl w:ilvl="4" w:tplc="042F0003" w:tentative="1">
      <w:start w:val="1"/>
      <w:numFmt w:val="bullet"/>
      <w:lvlText w:val="o"/>
      <w:lvlJc w:val="left"/>
      <w:pPr>
        <w:ind w:left="3302" w:hanging="360"/>
      </w:pPr>
      <w:rPr>
        <w:rFonts w:ascii="Courier New" w:hAnsi="Courier New" w:hint="default"/>
      </w:rPr>
    </w:lvl>
    <w:lvl w:ilvl="5" w:tplc="042F0005" w:tentative="1">
      <w:start w:val="1"/>
      <w:numFmt w:val="bullet"/>
      <w:lvlText w:val=""/>
      <w:lvlJc w:val="left"/>
      <w:pPr>
        <w:ind w:left="4022" w:hanging="360"/>
      </w:pPr>
      <w:rPr>
        <w:rFonts w:ascii="Wingdings" w:hAnsi="Wingdings" w:hint="default"/>
      </w:rPr>
    </w:lvl>
    <w:lvl w:ilvl="6" w:tplc="042F0001" w:tentative="1">
      <w:start w:val="1"/>
      <w:numFmt w:val="bullet"/>
      <w:lvlText w:val=""/>
      <w:lvlJc w:val="left"/>
      <w:pPr>
        <w:ind w:left="4742" w:hanging="360"/>
      </w:pPr>
      <w:rPr>
        <w:rFonts w:ascii="Symbol" w:hAnsi="Symbol" w:hint="default"/>
      </w:rPr>
    </w:lvl>
    <w:lvl w:ilvl="7" w:tplc="042F0003" w:tentative="1">
      <w:start w:val="1"/>
      <w:numFmt w:val="bullet"/>
      <w:lvlText w:val="o"/>
      <w:lvlJc w:val="left"/>
      <w:pPr>
        <w:ind w:left="5462" w:hanging="360"/>
      </w:pPr>
      <w:rPr>
        <w:rFonts w:ascii="Courier New" w:hAnsi="Courier New" w:hint="default"/>
      </w:rPr>
    </w:lvl>
    <w:lvl w:ilvl="8" w:tplc="042F0005" w:tentative="1">
      <w:start w:val="1"/>
      <w:numFmt w:val="bullet"/>
      <w:lvlText w:val=""/>
      <w:lvlJc w:val="left"/>
      <w:pPr>
        <w:ind w:left="6182" w:hanging="360"/>
      </w:pPr>
      <w:rPr>
        <w:rFonts w:ascii="Wingdings" w:hAnsi="Wingdings" w:hint="default"/>
      </w:rPr>
    </w:lvl>
  </w:abstractNum>
  <w:abstractNum w:abstractNumId="8">
    <w:nsid w:val="51A270A0"/>
    <w:multiLevelType w:val="hybridMultilevel"/>
    <w:tmpl w:val="76C6253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52913EA1"/>
    <w:multiLevelType w:val="hybridMultilevel"/>
    <w:tmpl w:val="7EB8E5EA"/>
    <w:lvl w:ilvl="0" w:tplc="B4383646">
      <w:start w:val="600"/>
      <w:numFmt w:val="bullet"/>
      <w:lvlText w:val="-"/>
      <w:lvlJc w:val="left"/>
      <w:pPr>
        <w:ind w:left="1156" w:hanging="360"/>
      </w:pPr>
      <w:rPr>
        <w:rFonts w:ascii="Tahoma" w:eastAsia="Times New Roman" w:hAnsi="Tahoma" w:hint="default"/>
      </w:rPr>
    </w:lvl>
    <w:lvl w:ilvl="1" w:tplc="042F0003" w:tentative="1">
      <w:start w:val="1"/>
      <w:numFmt w:val="bullet"/>
      <w:lvlText w:val="o"/>
      <w:lvlJc w:val="left"/>
      <w:pPr>
        <w:ind w:left="1876" w:hanging="360"/>
      </w:pPr>
      <w:rPr>
        <w:rFonts w:ascii="Courier New" w:hAnsi="Courier New" w:hint="default"/>
      </w:rPr>
    </w:lvl>
    <w:lvl w:ilvl="2" w:tplc="042F0005" w:tentative="1">
      <w:start w:val="1"/>
      <w:numFmt w:val="bullet"/>
      <w:lvlText w:val=""/>
      <w:lvlJc w:val="left"/>
      <w:pPr>
        <w:ind w:left="2596" w:hanging="360"/>
      </w:pPr>
      <w:rPr>
        <w:rFonts w:ascii="Wingdings" w:hAnsi="Wingdings" w:hint="default"/>
      </w:rPr>
    </w:lvl>
    <w:lvl w:ilvl="3" w:tplc="042F0001" w:tentative="1">
      <w:start w:val="1"/>
      <w:numFmt w:val="bullet"/>
      <w:lvlText w:val=""/>
      <w:lvlJc w:val="left"/>
      <w:pPr>
        <w:ind w:left="3316" w:hanging="360"/>
      </w:pPr>
      <w:rPr>
        <w:rFonts w:ascii="Symbol" w:hAnsi="Symbol" w:hint="default"/>
      </w:rPr>
    </w:lvl>
    <w:lvl w:ilvl="4" w:tplc="042F0003" w:tentative="1">
      <w:start w:val="1"/>
      <w:numFmt w:val="bullet"/>
      <w:lvlText w:val="o"/>
      <w:lvlJc w:val="left"/>
      <w:pPr>
        <w:ind w:left="4036" w:hanging="360"/>
      </w:pPr>
      <w:rPr>
        <w:rFonts w:ascii="Courier New" w:hAnsi="Courier New" w:hint="default"/>
      </w:rPr>
    </w:lvl>
    <w:lvl w:ilvl="5" w:tplc="042F0005" w:tentative="1">
      <w:start w:val="1"/>
      <w:numFmt w:val="bullet"/>
      <w:lvlText w:val=""/>
      <w:lvlJc w:val="left"/>
      <w:pPr>
        <w:ind w:left="4756" w:hanging="360"/>
      </w:pPr>
      <w:rPr>
        <w:rFonts w:ascii="Wingdings" w:hAnsi="Wingdings" w:hint="default"/>
      </w:rPr>
    </w:lvl>
    <w:lvl w:ilvl="6" w:tplc="042F0001" w:tentative="1">
      <w:start w:val="1"/>
      <w:numFmt w:val="bullet"/>
      <w:lvlText w:val=""/>
      <w:lvlJc w:val="left"/>
      <w:pPr>
        <w:ind w:left="5476" w:hanging="360"/>
      </w:pPr>
      <w:rPr>
        <w:rFonts w:ascii="Symbol" w:hAnsi="Symbol" w:hint="default"/>
      </w:rPr>
    </w:lvl>
    <w:lvl w:ilvl="7" w:tplc="042F0003" w:tentative="1">
      <w:start w:val="1"/>
      <w:numFmt w:val="bullet"/>
      <w:lvlText w:val="o"/>
      <w:lvlJc w:val="left"/>
      <w:pPr>
        <w:ind w:left="6196" w:hanging="360"/>
      </w:pPr>
      <w:rPr>
        <w:rFonts w:ascii="Courier New" w:hAnsi="Courier New" w:hint="default"/>
      </w:rPr>
    </w:lvl>
    <w:lvl w:ilvl="8" w:tplc="042F0005" w:tentative="1">
      <w:start w:val="1"/>
      <w:numFmt w:val="bullet"/>
      <w:lvlText w:val=""/>
      <w:lvlJc w:val="left"/>
      <w:pPr>
        <w:ind w:left="6916" w:hanging="360"/>
      </w:pPr>
      <w:rPr>
        <w:rFonts w:ascii="Wingdings" w:hAnsi="Wingdings" w:hint="default"/>
      </w:rPr>
    </w:lvl>
  </w:abstractNum>
  <w:abstractNum w:abstractNumId="10">
    <w:nsid w:val="688A3770"/>
    <w:multiLevelType w:val="hybridMultilevel"/>
    <w:tmpl w:val="D0B8E2D4"/>
    <w:lvl w:ilvl="0" w:tplc="201A00E0">
      <w:start w:val="2"/>
      <w:numFmt w:val="bullet"/>
      <w:lvlText w:val="-"/>
      <w:lvlJc w:val="left"/>
      <w:pPr>
        <w:ind w:left="436" w:hanging="360"/>
      </w:pPr>
      <w:rPr>
        <w:rFonts w:ascii="Times New Roman" w:eastAsia="Times New Roman" w:hAnsi="Times New Roman" w:cs="Times New Roman" w:hint="default"/>
      </w:rPr>
    </w:lvl>
    <w:lvl w:ilvl="1" w:tplc="042F0003" w:tentative="1">
      <w:start w:val="1"/>
      <w:numFmt w:val="bullet"/>
      <w:lvlText w:val="o"/>
      <w:lvlJc w:val="left"/>
      <w:pPr>
        <w:ind w:left="1156" w:hanging="360"/>
      </w:pPr>
      <w:rPr>
        <w:rFonts w:ascii="Courier New" w:hAnsi="Courier New" w:cs="Courier New" w:hint="default"/>
      </w:rPr>
    </w:lvl>
    <w:lvl w:ilvl="2" w:tplc="042F0005" w:tentative="1">
      <w:start w:val="1"/>
      <w:numFmt w:val="bullet"/>
      <w:lvlText w:val=""/>
      <w:lvlJc w:val="left"/>
      <w:pPr>
        <w:ind w:left="1876" w:hanging="360"/>
      </w:pPr>
      <w:rPr>
        <w:rFonts w:ascii="Wingdings" w:hAnsi="Wingdings" w:hint="default"/>
      </w:rPr>
    </w:lvl>
    <w:lvl w:ilvl="3" w:tplc="042F0001" w:tentative="1">
      <w:start w:val="1"/>
      <w:numFmt w:val="bullet"/>
      <w:lvlText w:val=""/>
      <w:lvlJc w:val="left"/>
      <w:pPr>
        <w:ind w:left="2596" w:hanging="360"/>
      </w:pPr>
      <w:rPr>
        <w:rFonts w:ascii="Symbol" w:hAnsi="Symbol" w:hint="default"/>
      </w:rPr>
    </w:lvl>
    <w:lvl w:ilvl="4" w:tplc="042F0003" w:tentative="1">
      <w:start w:val="1"/>
      <w:numFmt w:val="bullet"/>
      <w:lvlText w:val="o"/>
      <w:lvlJc w:val="left"/>
      <w:pPr>
        <w:ind w:left="3316" w:hanging="360"/>
      </w:pPr>
      <w:rPr>
        <w:rFonts w:ascii="Courier New" w:hAnsi="Courier New" w:cs="Courier New" w:hint="default"/>
      </w:rPr>
    </w:lvl>
    <w:lvl w:ilvl="5" w:tplc="042F0005" w:tentative="1">
      <w:start w:val="1"/>
      <w:numFmt w:val="bullet"/>
      <w:lvlText w:val=""/>
      <w:lvlJc w:val="left"/>
      <w:pPr>
        <w:ind w:left="4036" w:hanging="360"/>
      </w:pPr>
      <w:rPr>
        <w:rFonts w:ascii="Wingdings" w:hAnsi="Wingdings" w:hint="default"/>
      </w:rPr>
    </w:lvl>
    <w:lvl w:ilvl="6" w:tplc="042F0001" w:tentative="1">
      <w:start w:val="1"/>
      <w:numFmt w:val="bullet"/>
      <w:lvlText w:val=""/>
      <w:lvlJc w:val="left"/>
      <w:pPr>
        <w:ind w:left="4756" w:hanging="360"/>
      </w:pPr>
      <w:rPr>
        <w:rFonts w:ascii="Symbol" w:hAnsi="Symbol" w:hint="default"/>
      </w:rPr>
    </w:lvl>
    <w:lvl w:ilvl="7" w:tplc="042F0003" w:tentative="1">
      <w:start w:val="1"/>
      <w:numFmt w:val="bullet"/>
      <w:lvlText w:val="o"/>
      <w:lvlJc w:val="left"/>
      <w:pPr>
        <w:ind w:left="5476" w:hanging="360"/>
      </w:pPr>
      <w:rPr>
        <w:rFonts w:ascii="Courier New" w:hAnsi="Courier New" w:cs="Courier New" w:hint="default"/>
      </w:rPr>
    </w:lvl>
    <w:lvl w:ilvl="8" w:tplc="042F0005" w:tentative="1">
      <w:start w:val="1"/>
      <w:numFmt w:val="bullet"/>
      <w:lvlText w:val=""/>
      <w:lvlJc w:val="left"/>
      <w:pPr>
        <w:ind w:left="6196" w:hanging="360"/>
      </w:pPr>
      <w:rPr>
        <w:rFonts w:ascii="Wingdings" w:hAnsi="Wingdings" w:hint="default"/>
      </w:rPr>
    </w:lvl>
  </w:abstractNum>
  <w:num w:numId="1">
    <w:abstractNumId w:val="5"/>
  </w:num>
  <w:num w:numId="2">
    <w:abstractNumId w:val="10"/>
  </w:num>
  <w:num w:numId="3">
    <w:abstractNumId w:val="2"/>
  </w:num>
  <w:num w:numId="4">
    <w:abstractNumId w:val="7"/>
  </w:num>
  <w:num w:numId="5">
    <w:abstractNumId w:val="9"/>
  </w:num>
  <w:num w:numId="6">
    <w:abstractNumId w:val="1"/>
  </w:num>
  <w:num w:numId="7">
    <w:abstractNumId w:val="8"/>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FF"/>
    <w:rsid w:val="00000166"/>
    <w:rsid w:val="000032D5"/>
    <w:rsid w:val="00011618"/>
    <w:rsid w:val="0002200B"/>
    <w:rsid w:val="00024991"/>
    <w:rsid w:val="000340ED"/>
    <w:rsid w:val="00036953"/>
    <w:rsid w:val="0004556B"/>
    <w:rsid w:val="00047CEB"/>
    <w:rsid w:val="000572D3"/>
    <w:rsid w:val="00066E29"/>
    <w:rsid w:val="00066FB6"/>
    <w:rsid w:val="00067399"/>
    <w:rsid w:val="000A1A83"/>
    <w:rsid w:val="000A5424"/>
    <w:rsid w:val="000A6C02"/>
    <w:rsid w:val="000A6DFE"/>
    <w:rsid w:val="000B0B1E"/>
    <w:rsid w:val="000B5A73"/>
    <w:rsid w:val="000B755C"/>
    <w:rsid w:val="000C2F9E"/>
    <w:rsid w:val="000D50FD"/>
    <w:rsid w:val="000E042D"/>
    <w:rsid w:val="000E38D0"/>
    <w:rsid w:val="000F446B"/>
    <w:rsid w:val="000F520B"/>
    <w:rsid w:val="00101CBD"/>
    <w:rsid w:val="00112B51"/>
    <w:rsid w:val="00113FBC"/>
    <w:rsid w:val="00124399"/>
    <w:rsid w:val="00136713"/>
    <w:rsid w:val="001402F5"/>
    <w:rsid w:val="001419DC"/>
    <w:rsid w:val="0014615D"/>
    <w:rsid w:val="00150238"/>
    <w:rsid w:val="0015551F"/>
    <w:rsid w:val="00156806"/>
    <w:rsid w:val="00185F51"/>
    <w:rsid w:val="00191557"/>
    <w:rsid w:val="0019291B"/>
    <w:rsid w:val="001A1A61"/>
    <w:rsid w:val="001A3DD4"/>
    <w:rsid w:val="001A6673"/>
    <w:rsid w:val="001B2DE0"/>
    <w:rsid w:val="001C022C"/>
    <w:rsid w:val="001C5FFB"/>
    <w:rsid w:val="001D06DC"/>
    <w:rsid w:val="001E1978"/>
    <w:rsid w:val="001E413B"/>
    <w:rsid w:val="001E7823"/>
    <w:rsid w:val="00202A52"/>
    <w:rsid w:val="00206BB8"/>
    <w:rsid w:val="00214132"/>
    <w:rsid w:val="00220168"/>
    <w:rsid w:val="0023456F"/>
    <w:rsid w:val="00241E72"/>
    <w:rsid w:val="00242BF2"/>
    <w:rsid w:val="00243673"/>
    <w:rsid w:val="00245F4B"/>
    <w:rsid w:val="00247058"/>
    <w:rsid w:val="002531B3"/>
    <w:rsid w:val="00257D2C"/>
    <w:rsid w:val="00257F9C"/>
    <w:rsid w:val="0026159E"/>
    <w:rsid w:val="00290C36"/>
    <w:rsid w:val="00292622"/>
    <w:rsid w:val="002A4F5B"/>
    <w:rsid w:val="002A58CE"/>
    <w:rsid w:val="002A65D0"/>
    <w:rsid w:val="002A65E9"/>
    <w:rsid w:val="002B0382"/>
    <w:rsid w:val="002B1666"/>
    <w:rsid w:val="002B2902"/>
    <w:rsid w:val="002C35DD"/>
    <w:rsid w:val="002C5387"/>
    <w:rsid w:val="002C5A4D"/>
    <w:rsid w:val="002E4152"/>
    <w:rsid w:val="002E4420"/>
    <w:rsid w:val="002F7567"/>
    <w:rsid w:val="00300BCC"/>
    <w:rsid w:val="00303CFE"/>
    <w:rsid w:val="00316FEE"/>
    <w:rsid w:val="00317F1B"/>
    <w:rsid w:val="00322BF5"/>
    <w:rsid w:val="0032512C"/>
    <w:rsid w:val="003348B5"/>
    <w:rsid w:val="003409D2"/>
    <w:rsid w:val="00345AE6"/>
    <w:rsid w:val="00347BC6"/>
    <w:rsid w:val="00347F6A"/>
    <w:rsid w:val="00374127"/>
    <w:rsid w:val="003778EA"/>
    <w:rsid w:val="00377B32"/>
    <w:rsid w:val="00382685"/>
    <w:rsid w:val="00383860"/>
    <w:rsid w:val="0039035A"/>
    <w:rsid w:val="003A5DD8"/>
    <w:rsid w:val="003B0100"/>
    <w:rsid w:val="003B11D3"/>
    <w:rsid w:val="003B5422"/>
    <w:rsid w:val="003C0B21"/>
    <w:rsid w:val="003C419B"/>
    <w:rsid w:val="003E38E1"/>
    <w:rsid w:val="003F193C"/>
    <w:rsid w:val="003F7E26"/>
    <w:rsid w:val="0040230C"/>
    <w:rsid w:val="00407765"/>
    <w:rsid w:val="00411A74"/>
    <w:rsid w:val="00412C7E"/>
    <w:rsid w:val="004160FC"/>
    <w:rsid w:val="00431B93"/>
    <w:rsid w:val="004323BC"/>
    <w:rsid w:val="0044428D"/>
    <w:rsid w:val="00444632"/>
    <w:rsid w:val="00450E53"/>
    <w:rsid w:val="004510E9"/>
    <w:rsid w:val="00451F81"/>
    <w:rsid w:val="00467D8D"/>
    <w:rsid w:val="00472AAA"/>
    <w:rsid w:val="00472D66"/>
    <w:rsid w:val="004748F4"/>
    <w:rsid w:val="00477086"/>
    <w:rsid w:val="00497D84"/>
    <w:rsid w:val="004B09F5"/>
    <w:rsid w:val="004B4963"/>
    <w:rsid w:val="004B4FAE"/>
    <w:rsid w:val="004C22D1"/>
    <w:rsid w:val="004C7B26"/>
    <w:rsid w:val="004D17E0"/>
    <w:rsid w:val="004D3464"/>
    <w:rsid w:val="004E2C5A"/>
    <w:rsid w:val="004F7DDF"/>
    <w:rsid w:val="00502F7D"/>
    <w:rsid w:val="0051334D"/>
    <w:rsid w:val="005176C7"/>
    <w:rsid w:val="00520588"/>
    <w:rsid w:val="00526CEC"/>
    <w:rsid w:val="0053119E"/>
    <w:rsid w:val="00533BC8"/>
    <w:rsid w:val="00537695"/>
    <w:rsid w:val="00565F46"/>
    <w:rsid w:val="00570DA4"/>
    <w:rsid w:val="00574C66"/>
    <w:rsid w:val="00580A97"/>
    <w:rsid w:val="005840C0"/>
    <w:rsid w:val="00587341"/>
    <w:rsid w:val="005921CA"/>
    <w:rsid w:val="00594B74"/>
    <w:rsid w:val="00597963"/>
    <w:rsid w:val="005A1097"/>
    <w:rsid w:val="005A1A46"/>
    <w:rsid w:val="005A3724"/>
    <w:rsid w:val="005A43C3"/>
    <w:rsid w:val="005A7793"/>
    <w:rsid w:val="005B76C0"/>
    <w:rsid w:val="005C4F6C"/>
    <w:rsid w:val="005C6AD9"/>
    <w:rsid w:val="005E7024"/>
    <w:rsid w:val="005F1F9E"/>
    <w:rsid w:val="005F411C"/>
    <w:rsid w:val="005F4168"/>
    <w:rsid w:val="00603BCA"/>
    <w:rsid w:val="0061080C"/>
    <w:rsid w:val="00610FFF"/>
    <w:rsid w:val="00631F08"/>
    <w:rsid w:val="006434B3"/>
    <w:rsid w:val="0065525E"/>
    <w:rsid w:val="0068335A"/>
    <w:rsid w:val="00685EA2"/>
    <w:rsid w:val="006937F7"/>
    <w:rsid w:val="006944C2"/>
    <w:rsid w:val="006B2808"/>
    <w:rsid w:val="006B3CA5"/>
    <w:rsid w:val="006D7068"/>
    <w:rsid w:val="006E1E5E"/>
    <w:rsid w:val="006E5942"/>
    <w:rsid w:val="00702149"/>
    <w:rsid w:val="00702FD5"/>
    <w:rsid w:val="00703119"/>
    <w:rsid w:val="00713FA7"/>
    <w:rsid w:val="007164CB"/>
    <w:rsid w:val="00742838"/>
    <w:rsid w:val="00743456"/>
    <w:rsid w:val="0074581F"/>
    <w:rsid w:val="00750DC1"/>
    <w:rsid w:val="007606FE"/>
    <w:rsid w:val="00770EBE"/>
    <w:rsid w:val="00777E29"/>
    <w:rsid w:val="007819B2"/>
    <w:rsid w:val="00783314"/>
    <w:rsid w:val="00790C2B"/>
    <w:rsid w:val="0079309B"/>
    <w:rsid w:val="00794BE5"/>
    <w:rsid w:val="007B3CA1"/>
    <w:rsid w:val="007B535B"/>
    <w:rsid w:val="007E050D"/>
    <w:rsid w:val="007F7B70"/>
    <w:rsid w:val="00804E69"/>
    <w:rsid w:val="008255B5"/>
    <w:rsid w:val="0082636B"/>
    <w:rsid w:val="00831710"/>
    <w:rsid w:val="00832964"/>
    <w:rsid w:val="0084026F"/>
    <w:rsid w:val="00850FD2"/>
    <w:rsid w:val="00866441"/>
    <w:rsid w:val="00880737"/>
    <w:rsid w:val="00883EDF"/>
    <w:rsid w:val="00885963"/>
    <w:rsid w:val="008862C2"/>
    <w:rsid w:val="00890D42"/>
    <w:rsid w:val="00896922"/>
    <w:rsid w:val="008B0E34"/>
    <w:rsid w:val="008B1701"/>
    <w:rsid w:val="008B2138"/>
    <w:rsid w:val="008B30A5"/>
    <w:rsid w:val="008C0493"/>
    <w:rsid w:val="008D326D"/>
    <w:rsid w:val="008E0087"/>
    <w:rsid w:val="00904F49"/>
    <w:rsid w:val="009051A3"/>
    <w:rsid w:val="00931486"/>
    <w:rsid w:val="00936EDA"/>
    <w:rsid w:val="009500A4"/>
    <w:rsid w:val="009503BE"/>
    <w:rsid w:val="0095246F"/>
    <w:rsid w:val="009622CC"/>
    <w:rsid w:val="00963AF3"/>
    <w:rsid w:val="009743A5"/>
    <w:rsid w:val="00994885"/>
    <w:rsid w:val="00994BF9"/>
    <w:rsid w:val="00995013"/>
    <w:rsid w:val="00996B55"/>
    <w:rsid w:val="009A35B2"/>
    <w:rsid w:val="009A56DE"/>
    <w:rsid w:val="009A5B53"/>
    <w:rsid w:val="009A7983"/>
    <w:rsid w:val="009B1231"/>
    <w:rsid w:val="009B4F45"/>
    <w:rsid w:val="009C0E9B"/>
    <w:rsid w:val="009E2A43"/>
    <w:rsid w:val="009E3AB1"/>
    <w:rsid w:val="009E4A54"/>
    <w:rsid w:val="009F16CA"/>
    <w:rsid w:val="00A10B05"/>
    <w:rsid w:val="00A10EB0"/>
    <w:rsid w:val="00A14623"/>
    <w:rsid w:val="00A149AB"/>
    <w:rsid w:val="00A27423"/>
    <w:rsid w:val="00A301CF"/>
    <w:rsid w:val="00A3193F"/>
    <w:rsid w:val="00A34117"/>
    <w:rsid w:val="00A37954"/>
    <w:rsid w:val="00A47148"/>
    <w:rsid w:val="00A65692"/>
    <w:rsid w:val="00A73C35"/>
    <w:rsid w:val="00A75CE0"/>
    <w:rsid w:val="00A927A8"/>
    <w:rsid w:val="00AA1A53"/>
    <w:rsid w:val="00AA2878"/>
    <w:rsid w:val="00AB2711"/>
    <w:rsid w:val="00AC725F"/>
    <w:rsid w:val="00AC7D50"/>
    <w:rsid w:val="00AC7F43"/>
    <w:rsid w:val="00AD0FF8"/>
    <w:rsid w:val="00AF1124"/>
    <w:rsid w:val="00AF31AB"/>
    <w:rsid w:val="00B04C8C"/>
    <w:rsid w:val="00B04CB5"/>
    <w:rsid w:val="00B0534C"/>
    <w:rsid w:val="00B32D15"/>
    <w:rsid w:val="00B37AE4"/>
    <w:rsid w:val="00B520A3"/>
    <w:rsid w:val="00B75FE7"/>
    <w:rsid w:val="00B80629"/>
    <w:rsid w:val="00B8113F"/>
    <w:rsid w:val="00B81EA5"/>
    <w:rsid w:val="00B859B7"/>
    <w:rsid w:val="00B85EA4"/>
    <w:rsid w:val="00B87768"/>
    <w:rsid w:val="00BA00B8"/>
    <w:rsid w:val="00BC317C"/>
    <w:rsid w:val="00BC36E4"/>
    <w:rsid w:val="00BC7A68"/>
    <w:rsid w:val="00BE7E4A"/>
    <w:rsid w:val="00BF3C99"/>
    <w:rsid w:val="00BF4723"/>
    <w:rsid w:val="00BF5EED"/>
    <w:rsid w:val="00BF7B38"/>
    <w:rsid w:val="00C02C58"/>
    <w:rsid w:val="00C03141"/>
    <w:rsid w:val="00C101D9"/>
    <w:rsid w:val="00C12D9C"/>
    <w:rsid w:val="00C15409"/>
    <w:rsid w:val="00C20AEF"/>
    <w:rsid w:val="00C219CE"/>
    <w:rsid w:val="00C21F3F"/>
    <w:rsid w:val="00C310A9"/>
    <w:rsid w:val="00C323E2"/>
    <w:rsid w:val="00C341D2"/>
    <w:rsid w:val="00C34F70"/>
    <w:rsid w:val="00C4558B"/>
    <w:rsid w:val="00C45B3C"/>
    <w:rsid w:val="00C46F6A"/>
    <w:rsid w:val="00C52807"/>
    <w:rsid w:val="00C55F9E"/>
    <w:rsid w:val="00C563C6"/>
    <w:rsid w:val="00C57007"/>
    <w:rsid w:val="00C64DAE"/>
    <w:rsid w:val="00C64FE1"/>
    <w:rsid w:val="00C66821"/>
    <w:rsid w:val="00C711ED"/>
    <w:rsid w:val="00C71543"/>
    <w:rsid w:val="00C73D78"/>
    <w:rsid w:val="00C87FA3"/>
    <w:rsid w:val="00CB01E6"/>
    <w:rsid w:val="00CD25E9"/>
    <w:rsid w:val="00CD6D46"/>
    <w:rsid w:val="00CE1477"/>
    <w:rsid w:val="00CE2A7C"/>
    <w:rsid w:val="00CE6C75"/>
    <w:rsid w:val="00CF64AE"/>
    <w:rsid w:val="00D01332"/>
    <w:rsid w:val="00D02D7F"/>
    <w:rsid w:val="00D12887"/>
    <w:rsid w:val="00D20D41"/>
    <w:rsid w:val="00D22CDA"/>
    <w:rsid w:val="00D24CF2"/>
    <w:rsid w:val="00D27373"/>
    <w:rsid w:val="00D41CFB"/>
    <w:rsid w:val="00D42AD9"/>
    <w:rsid w:val="00D45D0A"/>
    <w:rsid w:val="00D53B39"/>
    <w:rsid w:val="00D53BD7"/>
    <w:rsid w:val="00D74E3C"/>
    <w:rsid w:val="00D762D8"/>
    <w:rsid w:val="00D87AA0"/>
    <w:rsid w:val="00D92A99"/>
    <w:rsid w:val="00D92D8D"/>
    <w:rsid w:val="00D95A53"/>
    <w:rsid w:val="00D969A7"/>
    <w:rsid w:val="00DA3C4D"/>
    <w:rsid w:val="00DC3702"/>
    <w:rsid w:val="00DC49A0"/>
    <w:rsid w:val="00DC6C6C"/>
    <w:rsid w:val="00DD4A86"/>
    <w:rsid w:val="00DD5FEE"/>
    <w:rsid w:val="00DE4FEA"/>
    <w:rsid w:val="00DF39C6"/>
    <w:rsid w:val="00E14D28"/>
    <w:rsid w:val="00E415C4"/>
    <w:rsid w:val="00E42C7B"/>
    <w:rsid w:val="00E56041"/>
    <w:rsid w:val="00E62148"/>
    <w:rsid w:val="00E659B2"/>
    <w:rsid w:val="00E82A32"/>
    <w:rsid w:val="00EA29D9"/>
    <w:rsid w:val="00EA44C2"/>
    <w:rsid w:val="00EC0F43"/>
    <w:rsid w:val="00EC241E"/>
    <w:rsid w:val="00EC2CC7"/>
    <w:rsid w:val="00EC45C7"/>
    <w:rsid w:val="00ED36AB"/>
    <w:rsid w:val="00ED739D"/>
    <w:rsid w:val="00EE0F84"/>
    <w:rsid w:val="00EE446A"/>
    <w:rsid w:val="00EE61C1"/>
    <w:rsid w:val="00EF7EC4"/>
    <w:rsid w:val="00F00AD2"/>
    <w:rsid w:val="00F02E03"/>
    <w:rsid w:val="00F246C4"/>
    <w:rsid w:val="00F2798B"/>
    <w:rsid w:val="00F31E79"/>
    <w:rsid w:val="00F35B8B"/>
    <w:rsid w:val="00F40F1C"/>
    <w:rsid w:val="00F42D26"/>
    <w:rsid w:val="00F45ACB"/>
    <w:rsid w:val="00F56664"/>
    <w:rsid w:val="00F57BEC"/>
    <w:rsid w:val="00F707ED"/>
    <w:rsid w:val="00F747F9"/>
    <w:rsid w:val="00F75D1B"/>
    <w:rsid w:val="00F76E07"/>
    <w:rsid w:val="00F77AD3"/>
    <w:rsid w:val="00F81E1F"/>
    <w:rsid w:val="00F91899"/>
    <w:rsid w:val="00F92484"/>
    <w:rsid w:val="00FA2582"/>
    <w:rsid w:val="00FA6B77"/>
    <w:rsid w:val="00FB27FD"/>
    <w:rsid w:val="00FB3195"/>
    <w:rsid w:val="00FC3B3C"/>
    <w:rsid w:val="00FC5EE0"/>
    <w:rsid w:val="00FD3537"/>
    <w:rsid w:val="00FF717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A329F081-8330-4D3B-A7F5-269D7850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FFF"/>
    <w:pPr>
      <w:widowControl w:val="0"/>
      <w:autoSpaceDE w:val="0"/>
      <w:autoSpaceDN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FF"/>
    <w:pPr>
      <w:ind w:left="720"/>
      <w:contextualSpacing/>
    </w:pPr>
  </w:style>
  <w:style w:type="paragraph" w:styleId="Header">
    <w:name w:val="header"/>
    <w:basedOn w:val="Normal"/>
    <w:link w:val="HeaderChar"/>
    <w:uiPriority w:val="99"/>
    <w:semiHidden/>
    <w:unhideWhenUsed/>
    <w:rsid w:val="00DC49A0"/>
    <w:pPr>
      <w:tabs>
        <w:tab w:val="center" w:pos="4513"/>
        <w:tab w:val="right" w:pos="9026"/>
      </w:tabs>
    </w:pPr>
  </w:style>
  <w:style w:type="character" w:customStyle="1" w:styleId="HeaderChar">
    <w:name w:val="Header Char"/>
    <w:link w:val="Header"/>
    <w:uiPriority w:val="99"/>
    <w:semiHidden/>
    <w:rsid w:val="00DC49A0"/>
    <w:rPr>
      <w:rFonts w:ascii="Times New Roman" w:eastAsia="Times New Roman" w:hAnsi="Times New Roman"/>
      <w:sz w:val="24"/>
      <w:szCs w:val="24"/>
    </w:rPr>
  </w:style>
  <w:style w:type="paragraph" w:styleId="Footer">
    <w:name w:val="footer"/>
    <w:basedOn w:val="Normal"/>
    <w:link w:val="FooterChar"/>
    <w:uiPriority w:val="99"/>
    <w:unhideWhenUsed/>
    <w:rsid w:val="00DC49A0"/>
    <w:pPr>
      <w:tabs>
        <w:tab w:val="center" w:pos="4513"/>
        <w:tab w:val="right" w:pos="9026"/>
      </w:tabs>
    </w:pPr>
  </w:style>
  <w:style w:type="character" w:customStyle="1" w:styleId="FooterChar">
    <w:name w:val="Footer Char"/>
    <w:link w:val="Footer"/>
    <w:uiPriority w:val="99"/>
    <w:rsid w:val="00DC49A0"/>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50FD"/>
    <w:rPr>
      <w:rFonts w:ascii="Tahoma" w:hAnsi="Tahoma" w:cs="Tahoma"/>
      <w:sz w:val="16"/>
      <w:szCs w:val="16"/>
    </w:rPr>
  </w:style>
  <w:style w:type="character" w:customStyle="1" w:styleId="BalloonTextChar">
    <w:name w:val="Balloon Text Char"/>
    <w:link w:val="BalloonText"/>
    <w:uiPriority w:val="99"/>
    <w:semiHidden/>
    <w:rsid w:val="000D50FD"/>
    <w:rPr>
      <w:rFonts w:ascii="Tahoma" w:eastAsia="Times New Roman" w:hAnsi="Tahoma" w:cs="Tahoma"/>
      <w:sz w:val="16"/>
      <w:szCs w:val="16"/>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4917">
      <w:bodyDiv w:val="1"/>
      <w:marLeft w:val="0"/>
      <w:marRight w:val="0"/>
      <w:marTop w:val="0"/>
      <w:marBottom w:val="0"/>
      <w:divBdr>
        <w:top w:val="none" w:sz="0" w:space="0" w:color="auto"/>
        <w:left w:val="none" w:sz="0" w:space="0" w:color="auto"/>
        <w:bottom w:val="none" w:sz="0" w:space="0" w:color="auto"/>
        <w:right w:val="none" w:sz="0" w:space="0" w:color="auto"/>
      </w:divBdr>
    </w:div>
    <w:div w:id="544563618">
      <w:bodyDiv w:val="1"/>
      <w:marLeft w:val="0"/>
      <w:marRight w:val="0"/>
      <w:marTop w:val="0"/>
      <w:marBottom w:val="0"/>
      <w:divBdr>
        <w:top w:val="none" w:sz="0" w:space="0" w:color="auto"/>
        <w:left w:val="none" w:sz="0" w:space="0" w:color="auto"/>
        <w:bottom w:val="none" w:sz="0" w:space="0" w:color="auto"/>
        <w:right w:val="none" w:sz="0" w:space="0" w:color="auto"/>
      </w:divBdr>
    </w:div>
    <w:div w:id="1999259174">
      <w:bodyDiv w:val="1"/>
      <w:marLeft w:val="0"/>
      <w:marRight w:val="0"/>
      <w:marTop w:val="0"/>
      <w:marBottom w:val="0"/>
      <w:divBdr>
        <w:top w:val="none" w:sz="0" w:space="0" w:color="auto"/>
        <w:left w:val="none" w:sz="0" w:space="0" w:color="auto"/>
        <w:bottom w:val="none" w:sz="0" w:space="0" w:color="auto"/>
        <w:right w:val="none" w:sz="0" w:space="0" w:color="auto"/>
      </w:divBdr>
    </w:div>
    <w:div w:id="21075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3B658-C0C7-4F8C-9D10-5691D801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UNIBank AD Skopje</Company>
  <LinksUpToDate>false</LinksUpToDate>
  <CharactersWithSpaces>12326</CharactersWithSpaces>
  <SharedDoc>false</SharedDoc>
  <HLinks>
    <vt:vector size="12" baseType="variant">
      <vt:variant>
        <vt:i4>8323191</vt:i4>
      </vt:variant>
      <vt:variant>
        <vt:i4>3</vt:i4>
      </vt:variant>
      <vt:variant>
        <vt:i4>0</vt:i4>
      </vt:variant>
      <vt:variant>
        <vt:i4>5</vt:i4>
      </vt:variant>
      <vt:variant>
        <vt:lpwstr>http://www.unibank.mk/</vt:lpwstr>
      </vt:variant>
      <vt:variant>
        <vt:lpwstr/>
      </vt:variant>
      <vt:variant>
        <vt:i4>7471154</vt:i4>
      </vt:variant>
      <vt:variant>
        <vt:i4>0</vt:i4>
      </vt:variant>
      <vt:variant>
        <vt:i4>0</vt:i4>
      </vt:variant>
      <vt:variant>
        <vt:i4>5</vt:i4>
      </vt:variant>
      <vt:variant>
        <vt:lpwstr>http://www.nbrm.mk/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aleksandra.kermetcie</dc:creator>
  <cp:keywords/>
  <cp:lastModifiedBy>Marija Alacovska</cp:lastModifiedBy>
  <cp:revision>9</cp:revision>
  <cp:lastPrinted>2021-09-17T12:43:00Z</cp:lastPrinted>
  <dcterms:created xsi:type="dcterms:W3CDTF">2023-11-21T09:17:00Z</dcterms:created>
  <dcterms:modified xsi:type="dcterms:W3CDTF">2023-11-21T11:04:00Z</dcterms:modified>
</cp:coreProperties>
</file>